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A7" w:rsidRDefault="00CD56A7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CD56A7" w:rsidRDefault="00CD56A7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06CE9" w:rsidRPr="000B01FF" w:rsidRDefault="00F06CE9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0B01FF">
        <w:rPr>
          <w:rFonts w:ascii="Times New Roman" w:hAnsi="Times New Roman" w:cs="Times New Roman"/>
          <w:b/>
          <w:sz w:val="24"/>
        </w:rPr>
        <w:t xml:space="preserve">Kierunek </w:t>
      </w:r>
      <w:r w:rsidR="005B1C72" w:rsidRPr="000B01FF">
        <w:rPr>
          <w:rFonts w:ascii="Times New Roman" w:hAnsi="Times New Roman" w:cs="Times New Roman"/>
          <w:b/>
          <w:sz w:val="24"/>
        </w:rPr>
        <w:t>ANALITYKA MEDYCZNA</w:t>
      </w:r>
      <w:r w:rsidR="00680F8F" w:rsidRPr="000B01FF">
        <w:rPr>
          <w:rFonts w:ascii="Times New Roman" w:hAnsi="Times New Roman" w:cs="Times New Roman"/>
          <w:b/>
          <w:sz w:val="24"/>
        </w:rPr>
        <w:t>; I rok</w:t>
      </w:r>
      <w:r w:rsidR="00CD56A7">
        <w:rPr>
          <w:rFonts w:ascii="Times New Roman" w:hAnsi="Times New Roman" w:cs="Times New Roman"/>
          <w:b/>
          <w:sz w:val="24"/>
        </w:rPr>
        <w:t xml:space="preserve"> (II semestr)</w:t>
      </w:r>
      <w:r w:rsidR="00C9106E" w:rsidRPr="000B01FF">
        <w:rPr>
          <w:rFonts w:ascii="Times New Roman" w:hAnsi="Times New Roman" w:cs="Times New Roman"/>
          <w:b/>
          <w:sz w:val="24"/>
        </w:rPr>
        <w:t>: HISTOLOGIA</w:t>
      </w:r>
    </w:p>
    <w:p w:rsidR="001643C2" w:rsidRPr="000B01FF" w:rsidRDefault="001643C2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3349AE" w:rsidRPr="000B01FF" w:rsidRDefault="001643C2" w:rsidP="001643C2">
      <w:pPr>
        <w:spacing w:after="0" w:line="100" w:lineRule="atLeast"/>
        <w:rPr>
          <w:rFonts w:ascii="Times New Roman" w:hAnsi="Times New Roman" w:cs="Times New Roman"/>
          <w:b/>
        </w:rPr>
      </w:pPr>
      <w:r w:rsidRPr="000B01FF">
        <w:rPr>
          <w:rFonts w:ascii="Times New Roman" w:hAnsi="Times New Roman" w:cs="Times New Roman"/>
          <w:b/>
          <w:sz w:val="24"/>
        </w:rPr>
        <w:t>Tematy ćwiczeń:</w:t>
      </w:r>
    </w:p>
    <w:p w:rsidR="00247771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eastAsia="Calibri" w:hAnsi="Times New Roman"/>
          <w:b/>
        </w:rPr>
        <w:t>Omówienie regulaminu i zasad BHP</w:t>
      </w:r>
      <w:r w:rsidRPr="000B01FF">
        <w:rPr>
          <w:rFonts w:ascii="Times New Roman" w:hAnsi="Times New Roman"/>
          <w:b/>
          <w:noProof/>
        </w:rPr>
        <w:t>. Barwienia histologiczne (podstawowe barwienie H&amp;E).</w:t>
      </w:r>
      <w:r w:rsidRPr="000B01FF">
        <w:rPr>
          <w:rFonts w:ascii="Times New Roman" w:hAnsi="Times New Roman"/>
          <w:b/>
          <w:noProof/>
          <w:color w:val="000000"/>
        </w:rPr>
        <w:t>Zapoznanie się z budową i zasadami obsługi mikroskopu świetlnego</w:t>
      </w:r>
      <w:r>
        <w:rPr>
          <w:rFonts w:ascii="Times New Roman" w:hAnsi="Times New Roman"/>
          <w:b/>
          <w:noProof/>
          <w:color w:val="000000"/>
        </w:rPr>
        <w:t xml:space="preserve"> </w:t>
      </w:r>
    </w:p>
    <w:p w:rsidR="00310193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A49BF">
        <w:rPr>
          <w:rFonts w:ascii="Times New Roman" w:hAnsi="Times New Roman"/>
          <w:b/>
          <w:noProof/>
          <w:color w:val="000000"/>
        </w:rPr>
        <w:t>Fl</w:t>
      </w:r>
      <w:r w:rsidR="00310193" w:rsidRPr="000A49BF">
        <w:rPr>
          <w:rFonts w:ascii="Times New Roman" w:hAnsi="Times New Roman"/>
          <w:b/>
          <w:noProof/>
          <w:color w:val="000000"/>
        </w:rPr>
        <w:t xml:space="preserve">uorescencyjne znakowanie białek </w:t>
      </w:r>
    </w:p>
    <w:p w:rsidR="00310193" w:rsidRPr="000A49BF" w:rsidRDefault="00310193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Mikroskopia elektronowa: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Tkanka nabłonkowa klasyfikacja i występowanie tkanki nabłonkowej. Oglądanie preparatów histologicznych różnych rodzajów nabłonków (jednowarstwowy sześcienny, jednowarstwowy walcowaty, wielorzędowy, przejściowy, wielowarstwowy płaski rogowaciejący i nierogo</w:t>
      </w:r>
      <w:r>
        <w:rPr>
          <w:rFonts w:ascii="Times New Roman" w:hAnsi="Times New Roman"/>
          <w:b/>
          <w:noProof/>
          <w:color w:val="000000"/>
        </w:rPr>
        <w:t>waciejący):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 xml:space="preserve">Tkanka łączna właściwa – rodzaje, właściwości </w:t>
      </w:r>
      <w:r w:rsidRPr="000B01FF">
        <w:rPr>
          <w:rFonts w:ascii="Times New Roman" w:hAnsi="Times New Roman"/>
          <w:b/>
          <w:noProof/>
          <w:color w:val="000000"/>
        </w:rPr>
        <w:br/>
        <w:t>i występowanie. Oglądanie preparatów histologicznych (tkanka łączna galaretowata, siateczkowata</w:t>
      </w:r>
      <w:r>
        <w:rPr>
          <w:rFonts w:ascii="Times New Roman" w:hAnsi="Times New Roman"/>
          <w:b/>
          <w:noProof/>
          <w:color w:val="000000"/>
        </w:rPr>
        <w:t>, sprężysta, tłuszczowa żółta):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 xml:space="preserve">Tkanka łączna oporowa – rodzaje, właściwości </w:t>
      </w:r>
      <w:r w:rsidRPr="000B01FF">
        <w:rPr>
          <w:rFonts w:ascii="Times New Roman" w:hAnsi="Times New Roman"/>
          <w:b/>
          <w:noProof/>
          <w:color w:val="000000"/>
        </w:rPr>
        <w:br/>
        <w:t>i występowanie. Tkanka mięśniowa – mechanizm skurczu. Oglądanie preparatów histologicznych (chrząstka szklista, sprężysta, tkanka kostna blaszkowata, kostnienie na podłożu chrzęstnym i błoniastym, tkanka mięśniowa poprzecznie prążkowana szkieletowa i serca, tkanka mięśniowa gładka)</w:t>
      </w:r>
      <w:r w:rsidR="00310193">
        <w:rPr>
          <w:rFonts w:ascii="Times New Roman" w:hAnsi="Times New Roman"/>
          <w:b/>
          <w:noProof/>
          <w:color w:val="000000"/>
        </w:rPr>
        <w:t>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310193">
        <w:rPr>
          <w:rFonts w:ascii="Times New Roman" w:hAnsi="Times New Roman"/>
          <w:b/>
          <w:noProof/>
          <w:color w:val="000000"/>
        </w:rPr>
        <w:t>Krew – rodzaje, budowa leuko</w:t>
      </w:r>
      <w:r w:rsidR="00D33C79">
        <w:rPr>
          <w:rFonts w:ascii="Times New Roman" w:hAnsi="Times New Roman"/>
          <w:b/>
          <w:noProof/>
          <w:color w:val="000000"/>
        </w:rPr>
        <w:t>cytów. Oglądanie rozmazów krwi: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310193">
        <w:rPr>
          <w:rFonts w:ascii="Times New Roman" w:hAnsi="Times New Roman"/>
          <w:b/>
          <w:noProof/>
          <w:color w:val="000000"/>
        </w:rPr>
        <w:t>Skóra – budowa skóry owłosionej i nieowłosionej, przydatki skóry (włosy, gruczoły, paznokcie). Układ oddechowy. Oglądanie preparatów histologicznych (skóra owłosiona, nieowłosiona, gruczoły potowe zwykłe, gruczoły potowe wonne, gruczoły łojowe, jama noso</w:t>
      </w:r>
      <w:r w:rsidR="00D33C79">
        <w:rPr>
          <w:rFonts w:ascii="Times New Roman" w:hAnsi="Times New Roman"/>
          <w:b/>
          <w:noProof/>
          <w:color w:val="000000"/>
        </w:rPr>
        <w:t>wa, tchawica, oskrzela, płuco):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Układ pokarmowy, gruczoły układu pokarmowego (wątroba, trzustka, pęcherzyk żółciowy). Oglądanie preparatów histologicznych (warga, język, ślinianki, ząb, przełyk, żołądek, dwunastnica, jelito cienkie, jelito grube, wyroste robaczkowy, wątroba,</w:t>
      </w:r>
      <w:r w:rsidR="00D33C79">
        <w:rPr>
          <w:rFonts w:ascii="Times New Roman" w:hAnsi="Times New Roman"/>
          <w:b/>
          <w:noProof/>
          <w:color w:val="000000"/>
        </w:rPr>
        <w:t xml:space="preserve"> trzustka, pęcherzyk żółciowy):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Gruczoły wydzielania wewnętrznego. Oglądanie preparatów histologicznych (tarczyca czynna i nieczynna, przytarczyce, przysadka nerwowa, gra</w:t>
      </w:r>
      <w:r w:rsidR="00D33C79">
        <w:rPr>
          <w:rFonts w:ascii="Times New Roman" w:hAnsi="Times New Roman"/>
          <w:b/>
          <w:noProof/>
          <w:color w:val="000000"/>
        </w:rPr>
        <w:t>sica, nadnercze, szyszynka):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Układ wydalniczy – budowa i funkcje. Oglądanie preparatów histologicznych (ner</w:t>
      </w:r>
      <w:r w:rsidR="00D33C79">
        <w:rPr>
          <w:rFonts w:ascii="Times New Roman" w:hAnsi="Times New Roman"/>
          <w:b/>
          <w:noProof/>
          <w:color w:val="000000"/>
        </w:rPr>
        <w:t>ka, moczowód, pęcherz moczowy):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Układ rozrodczy męski i żeński – budowa i funkcje. Oglądanie preparatów histologicznych (jajnik, jajowód, macica, pochwa, jądro, najądrze</w:t>
      </w:r>
      <w:r w:rsidR="00D33C79">
        <w:rPr>
          <w:rFonts w:ascii="Times New Roman" w:hAnsi="Times New Roman"/>
          <w:b/>
          <w:noProof/>
          <w:color w:val="000000"/>
        </w:rPr>
        <w:t>, nasieniowód, gruczoł krokowy):</w:t>
      </w:r>
      <w:r w:rsidRPr="000B01FF">
        <w:rPr>
          <w:rFonts w:ascii="Times New Roman" w:hAnsi="Times New Roman"/>
          <w:b/>
          <w:noProof/>
          <w:color w:val="000000"/>
        </w:rPr>
        <w:t xml:space="preserve"> 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Tkanka nerwowa i układ nerwowy (centralny i obwodowy). Oglądanie preparatów histologicznych (kora mózgu- komórki piramidalne, kora móżdżku- komórki gruszkowate, rdzeń kręgowy- motoneurony, nerw obwodo</w:t>
      </w:r>
      <w:r w:rsidR="00D33C79">
        <w:rPr>
          <w:rFonts w:ascii="Times New Roman" w:hAnsi="Times New Roman"/>
          <w:b/>
          <w:noProof/>
          <w:color w:val="000000"/>
        </w:rPr>
        <w:t>wy, zakończenia nerwowe):</w:t>
      </w:r>
    </w:p>
    <w:p w:rsidR="00247771" w:rsidRPr="000A49BF" w:rsidRDefault="000B01FF" w:rsidP="000A49B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Układ krwionośny i chłonny – budowa i funkcje. Oglądanie preparatów histologicznych (serce, aorta, tętnica typu mięśniowego i sprężystego, żyły małe i duże, śledz</w:t>
      </w:r>
      <w:r w:rsidR="00D33C79">
        <w:rPr>
          <w:rFonts w:ascii="Times New Roman" w:hAnsi="Times New Roman"/>
          <w:b/>
          <w:noProof/>
          <w:color w:val="000000"/>
        </w:rPr>
        <w:t>iona, węzeł chłonny, migdałki):</w:t>
      </w:r>
    </w:p>
    <w:p w:rsidR="000B01FF" w:rsidRDefault="000B01FF" w:rsidP="000B01FF">
      <w:pPr>
        <w:numPr>
          <w:ilvl w:val="0"/>
          <w:numId w:val="2"/>
        </w:numPr>
        <w:spacing w:after="0" w:line="240" w:lineRule="auto"/>
        <w:ind w:left="459" w:hanging="425"/>
        <w:jc w:val="both"/>
        <w:rPr>
          <w:rFonts w:ascii="Times New Roman" w:hAnsi="Times New Roman"/>
          <w:b/>
          <w:noProof/>
          <w:color w:val="000000"/>
        </w:rPr>
      </w:pPr>
      <w:r w:rsidRPr="000B01FF">
        <w:rPr>
          <w:rFonts w:ascii="Times New Roman" w:hAnsi="Times New Roman"/>
          <w:b/>
          <w:noProof/>
          <w:color w:val="000000"/>
        </w:rPr>
        <w:t>Z</w:t>
      </w:r>
      <w:r w:rsidR="00D33C79">
        <w:rPr>
          <w:rFonts w:ascii="Times New Roman" w:hAnsi="Times New Roman"/>
          <w:b/>
          <w:noProof/>
          <w:color w:val="000000"/>
        </w:rPr>
        <w:t>aliczenie praktyczne przedmiotu:</w:t>
      </w:r>
    </w:p>
    <w:p w:rsidR="003349AE" w:rsidRPr="000B01FF" w:rsidRDefault="003349AE" w:rsidP="003349AE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</w:rPr>
      </w:pPr>
    </w:p>
    <w:p w:rsidR="003349AE" w:rsidRPr="000B01FF" w:rsidRDefault="003349AE" w:rsidP="003349AE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</w:rPr>
      </w:pPr>
    </w:p>
    <w:p w:rsidR="001510E9" w:rsidRPr="000B01FF" w:rsidRDefault="001510E9" w:rsidP="001F60B3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</w:rPr>
      </w:pPr>
    </w:p>
    <w:sectPr w:rsidR="001510E9" w:rsidRPr="000B01FF" w:rsidSect="001F15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6E1"/>
    <w:multiLevelType w:val="hybridMultilevel"/>
    <w:tmpl w:val="A0B615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10E9"/>
    <w:rsid w:val="00057430"/>
    <w:rsid w:val="000A49BF"/>
    <w:rsid w:val="000B01FF"/>
    <w:rsid w:val="0010383D"/>
    <w:rsid w:val="001510E9"/>
    <w:rsid w:val="001643C2"/>
    <w:rsid w:val="001721C2"/>
    <w:rsid w:val="001F15BA"/>
    <w:rsid w:val="001F60B3"/>
    <w:rsid w:val="00247771"/>
    <w:rsid w:val="002F7F96"/>
    <w:rsid w:val="00310193"/>
    <w:rsid w:val="003349AE"/>
    <w:rsid w:val="003A4FEA"/>
    <w:rsid w:val="005B1C72"/>
    <w:rsid w:val="00680F8F"/>
    <w:rsid w:val="006E32DC"/>
    <w:rsid w:val="00816334"/>
    <w:rsid w:val="00A52A6E"/>
    <w:rsid w:val="00AF091A"/>
    <w:rsid w:val="00B30EAB"/>
    <w:rsid w:val="00BB5C71"/>
    <w:rsid w:val="00BC3BD9"/>
    <w:rsid w:val="00BF24D0"/>
    <w:rsid w:val="00C24F62"/>
    <w:rsid w:val="00C9106E"/>
    <w:rsid w:val="00CD56A7"/>
    <w:rsid w:val="00D33C79"/>
    <w:rsid w:val="00E66536"/>
    <w:rsid w:val="00F06CE9"/>
    <w:rsid w:val="00F87DCE"/>
    <w:rsid w:val="00FD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3349AE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0B0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2</cp:revision>
  <dcterms:created xsi:type="dcterms:W3CDTF">2023-02-15T12:16:00Z</dcterms:created>
  <dcterms:modified xsi:type="dcterms:W3CDTF">2023-02-15T12:16:00Z</dcterms:modified>
</cp:coreProperties>
</file>