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69509" w14:textId="77777777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Załącznik do Regulaminu dydaktycznego </w:t>
      </w:r>
    </w:p>
    <w:p w14:paraId="26A0487F" w14:textId="6A55D029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dot. studiów stacjonarnych </w:t>
      </w:r>
    </w:p>
    <w:p w14:paraId="6E09FBE3" w14:textId="791FB0E6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jednolite studia magisterskie </w:t>
      </w:r>
    </w:p>
    <w:p w14:paraId="53AD08C6" w14:textId="3036817A" w:rsidR="00661D95" w:rsidRDefault="00414FA6" w:rsidP="00661D95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 Wydziale Lekarskim CM UMK</w:t>
      </w:r>
    </w:p>
    <w:p w14:paraId="7CE430DD" w14:textId="5EB72165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obowiązujący od roku akademickiego 202</w:t>
      </w:r>
      <w:r w:rsidR="005254C9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5254C9"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FD4FA0" w14:paraId="2B38B45C" w14:textId="77777777" w:rsidTr="00E01402">
        <w:tc>
          <w:tcPr>
            <w:tcW w:w="10060" w:type="dxa"/>
            <w:gridSpan w:val="2"/>
          </w:tcPr>
          <w:p w14:paraId="5933971A" w14:textId="77777777" w:rsidR="00FD4FA0" w:rsidRDefault="00414FA6" w:rsidP="00075336">
            <w:pPr>
              <w:spacing w:after="0" w:line="360" w:lineRule="auto"/>
              <w:ind w:left="32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Dane ogólne dotyczące jednostki Wydziału i realizowanego przedmiotu:</w:t>
            </w:r>
          </w:p>
        </w:tc>
      </w:tr>
      <w:tr w:rsidR="00FD4FA0" w14:paraId="78B94D96" w14:textId="77777777" w:rsidTr="00E01402">
        <w:tc>
          <w:tcPr>
            <w:tcW w:w="4672" w:type="dxa"/>
            <w:vAlign w:val="center"/>
          </w:tcPr>
          <w:p w14:paraId="396C0730" w14:textId="5B277146" w:rsidR="00FD4FA0" w:rsidRDefault="0007533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jednostki 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</w:p>
        </w:tc>
        <w:tc>
          <w:tcPr>
            <w:tcW w:w="5388" w:type="dxa"/>
            <w:vAlign w:val="center"/>
          </w:tcPr>
          <w:p w14:paraId="005C8725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Katedra Patomorfologii Klinicznej </w:t>
            </w:r>
          </w:p>
        </w:tc>
      </w:tr>
      <w:tr w:rsidR="00FD4FA0" w14:paraId="0802663F" w14:textId="77777777" w:rsidTr="00E01402">
        <w:tc>
          <w:tcPr>
            <w:tcW w:w="4672" w:type="dxa"/>
            <w:vAlign w:val="center"/>
          </w:tcPr>
          <w:p w14:paraId="77E267B4" w14:textId="77777777" w:rsidR="00FD4FA0" w:rsidRDefault="00414FA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Wydziału</w:t>
            </w:r>
          </w:p>
        </w:tc>
        <w:tc>
          <w:tcPr>
            <w:tcW w:w="5388" w:type="dxa"/>
            <w:vAlign w:val="center"/>
          </w:tcPr>
          <w:p w14:paraId="43B1687D" w14:textId="77777777" w:rsidR="00FD4FA0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Dariusz Grzanka</w:t>
            </w:r>
          </w:p>
        </w:tc>
      </w:tr>
      <w:tr w:rsidR="00FD4FA0" w14:paraId="3E98A62F" w14:textId="77777777" w:rsidTr="00E01402">
        <w:tc>
          <w:tcPr>
            <w:tcW w:w="4672" w:type="dxa"/>
            <w:vAlign w:val="center"/>
          </w:tcPr>
          <w:p w14:paraId="5F192267" w14:textId="77777777" w:rsidR="00FD4FA0" w:rsidRDefault="00414FA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</w:t>
            </w:r>
            <w:r w:rsidR="00075336">
              <w:rPr>
                <w:rFonts w:ascii="Times New Roman" w:hAnsi="Times New Roman" w:cs="Times New Roman"/>
                <w:sz w:val="24"/>
                <w:szCs w:val="24"/>
              </w:rPr>
              <w:t>dynator dydaktyczny w jednostce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</w:p>
        </w:tc>
        <w:tc>
          <w:tcPr>
            <w:tcW w:w="5388" w:type="dxa"/>
            <w:vAlign w:val="center"/>
          </w:tcPr>
          <w:p w14:paraId="6249A700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FA0" w14:paraId="03CC3609" w14:textId="77777777" w:rsidTr="00E01402">
        <w:tc>
          <w:tcPr>
            <w:tcW w:w="4672" w:type="dxa"/>
            <w:vAlign w:val="center"/>
          </w:tcPr>
          <w:p w14:paraId="012C243B" w14:textId="77777777" w:rsidR="00FD4FA0" w:rsidRDefault="00414FA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ds. zdalnego kształcenia w jednostce</w:t>
            </w:r>
            <w:r w:rsidR="0007533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</w:p>
        </w:tc>
        <w:tc>
          <w:tcPr>
            <w:tcW w:w="5388" w:type="dxa"/>
            <w:vAlign w:val="center"/>
          </w:tcPr>
          <w:p w14:paraId="1576A608" w14:textId="77777777" w:rsidR="00FD4FA0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Dariusz Grzanka</w:t>
            </w:r>
          </w:p>
        </w:tc>
      </w:tr>
      <w:tr w:rsidR="00FD4FA0" w14:paraId="203E0A7D" w14:textId="77777777" w:rsidTr="00E01402">
        <w:tc>
          <w:tcPr>
            <w:tcW w:w="4672" w:type="dxa"/>
            <w:vAlign w:val="center"/>
          </w:tcPr>
          <w:p w14:paraId="4C41ADEE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odpowiedzialne za dydaktykę w obszarze przedmiotu</w:t>
            </w:r>
            <w:r w:rsidR="0007533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0EBA5D91" w14:textId="77777777" w:rsidR="007A761E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Dariusz Grzanka</w:t>
            </w:r>
          </w:p>
          <w:p w14:paraId="1EA4343B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</w:p>
          <w:p w14:paraId="3DDA83C2" w14:textId="77777777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Ewa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Domanowska</w:t>
            </w:r>
            <w:proofErr w:type="spellEnd"/>
          </w:p>
          <w:p w14:paraId="02FD8F75" w14:textId="77777777" w:rsidR="007A761E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n. med. Natalia Skoczylas – Makowska</w:t>
            </w:r>
          </w:p>
          <w:p w14:paraId="11C5EC09" w14:textId="77777777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Izabela Neska – Długosz </w:t>
            </w:r>
          </w:p>
          <w:p w14:paraId="70FCDCE6" w14:textId="3E5AD542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Radosław Wujec</w:t>
            </w:r>
          </w:p>
          <w:p w14:paraId="3DB41766" w14:textId="276C1A12" w:rsidR="00BC6935" w:rsidRDefault="00BC69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Naglik</w:t>
            </w:r>
            <w:proofErr w:type="spellEnd"/>
          </w:p>
          <w:p w14:paraId="7930F5FC" w14:textId="09060968" w:rsidR="00395EFD" w:rsidRDefault="00395E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Magda Zwolińska</w:t>
            </w:r>
          </w:p>
          <w:p w14:paraId="2FB35645" w14:textId="7C79E8BD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</w:t>
            </w:r>
            <w:r w:rsidR="00CB0D69">
              <w:rPr>
                <w:rFonts w:ascii="Times New Roman" w:hAnsi="Times New Roman" w:cs="Times New Roman"/>
                <w:sz w:val="24"/>
                <w:szCs w:val="24"/>
              </w:rPr>
              <w:t>Damian Łukasik</w:t>
            </w:r>
          </w:p>
          <w:p w14:paraId="6BE28B80" w14:textId="2BD2352C" w:rsidR="00CB0D69" w:rsidRDefault="00CB0D6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Anna Tomczak</w:t>
            </w:r>
          </w:p>
          <w:p w14:paraId="3A4EAE54" w14:textId="6BCB3DD8" w:rsidR="005254C9" w:rsidRDefault="005254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Karolina Grajewska</w:t>
            </w:r>
          </w:p>
          <w:p w14:paraId="6F106919" w14:textId="771FCA30" w:rsidR="005254C9" w:rsidRDefault="005254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Ewa Makowska</w:t>
            </w:r>
          </w:p>
          <w:p w14:paraId="467F6477" w14:textId="77777777" w:rsidR="00DC5F86" w:rsidRDefault="00DC5F86" w:rsidP="00661D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0" w14:paraId="0D7E9789" w14:textId="77777777" w:rsidTr="00661D95">
        <w:trPr>
          <w:trHeight w:val="233"/>
        </w:trPr>
        <w:tc>
          <w:tcPr>
            <w:tcW w:w="4672" w:type="dxa"/>
            <w:vAlign w:val="center"/>
          </w:tcPr>
          <w:p w14:paraId="1408DB46" w14:textId="77777777" w:rsidR="00FD4FA0" w:rsidRDefault="0007533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przedmiotu:</w:t>
            </w:r>
          </w:p>
        </w:tc>
        <w:tc>
          <w:tcPr>
            <w:tcW w:w="5388" w:type="dxa"/>
            <w:vAlign w:val="center"/>
          </w:tcPr>
          <w:p w14:paraId="32D0C0BB" w14:textId="3D851A57" w:rsidR="00FD4FA0" w:rsidRPr="00661D95" w:rsidRDefault="00661D9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D95">
              <w:rPr>
                <w:rFonts w:ascii="Times New Roman" w:hAnsi="Times New Roman" w:cs="Times New Roman"/>
                <w:sz w:val="24"/>
                <w:szCs w:val="24"/>
              </w:rPr>
              <w:t>Patomorfologia z elementami patologii jamy ustnej</w:t>
            </w:r>
          </w:p>
        </w:tc>
      </w:tr>
      <w:tr w:rsidR="00FD4FA0" w14:paraId="13E0942B" w14:textId="77777777" w:rsidTr="00E01402">
        <w:tc>
          <w:tcPr>
            <w:tcW w:w="4672" w:type="dxa"/>
            <w:vAlign w:val="center"/>
          </w:tcPr>
          <w:p w14:paraId="4C880ED4" w14:textId="54DFB6C1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Kierunek</w:t>
            </w:r>
            <w:r w:rsidR="00E01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1AADAD5D" w14:textId="55B34F75" w:rsidR="00FD4FA0" w:rsidRDefault="005254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ekarsk</w:t>
            </w:r>
            <w:r w:rsidR="00661D95">
              <w:rPr>
                <w:rFonts w:ascii="Times New Roman" w:hAnsi="Times New Roman" w:cs="Times New Roman"/>
                <w:sz w:val="24"/>
                <w:szCs w:val="24"/>
              </w:rPr>
              <w:t>o-dentystyczny</w:t>
            </w:r>
          </w:p>
        </w:tc>
      </w:tr>
      <w:tr w:rsidR="00FD4FA0" w14:paraId="45F4F197" w14:textId="77777777" w:rsidTr="00E01402">
        <w:tc>
          <w:tcPr>
            <w:tcW w:w="4672" w:type="dxa"/>
            <w:vAlign w:val="center"/>
          </w:tcPr>
          <w:p w14:paraId="29A0DEC2" w14:textId="2572E980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  <w:r w:rsidR="00E01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1B8E879A" w14:textId="14C5B764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Stacjonarna </w:t>
            </w:r>
          </w:p>
        </w:tc>
      </w:tr>
      <w:tr w:rsidR="00FD4FA0" w14:paraId="53600C0F" w14:textId="77777777" w:rsidTr="00E01402">
        <w:tc>
          <w:tcPr>
            <w:tcW w:w="4672" w:type="dxa"/>
            <w:vAlign w:val="center"/>
          </w:tcPr>
          <w:p w14:paraId="60E5151B" w14:textId="44748FBE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  <w:r w:rsidR="00E01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4F679230" w14:textId="00194376" w:rsidR="00FD4FA0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D4FA0" w14:paraId="1F6DC448" w14:textId="77777777" w:rsidTr="00E01402">
        <w:tc>
          <w:tcPr>
            <w:tcW w:w="4672" w:type="dxa"/>
            <w:vAlign w:val="center"/>
          </w:tcPr>
          <w:p w14:paraId="26BB8660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Dyżury nauczycieli akademickich</w:t>
            </w:r>
          </w:p>
          <w:p w14:paraId="031ECC13" w14:textId="77777777" w:rsidR="00FD4FA0" w:rsidRDefault="00FD4FA0" w:rsidP="000753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0654BD6C" w14:textId="7BA36312" w:rsidR="00CB0D69" w:rsidRPr="00CB0D69" w:rsidRDefault="00395EFD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</w:t>
            </w:r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 xml:space="preserve">rof. dr hab. n. med. i n. o </w:t>
            </w:r>
            <w:proofErr w:type="spellStart"/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>zdr</w:t>
            </w:r>
            <w:proofErr w:type="spellEnd"/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 xml:space="preserve">. Dariusz Grzanka  –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środa </w:t>
            </w:r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>14:</w:t>
            </w:r>
            <w:r>
              <w:rPr>
                <w:rFonts w:ascii="Times New Roman" w:eastAsia="Calibri" w:hAnsi="Times New Roman" w:cs="Times New Roman"/>
                <w:sz w:val="24"/>
              </w:rPr>
              <w:t>00 – 16:00</w:t>
            </w:r>
          </w:p>
          <w:p w14:paraId="7D616968" w14:textId="43F7CE54" w:rsidR="00395EFD" w:rsidRPr="00CB0D69" w:rsidRDefault="00395EFD" w:rsidP="00395EFD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dr n. med.  Jakub </w:t>
            </w:r>
            <w:proofErr w:type="spellStart"/>
            <w:r w:rsidRPr="00CB0D69">
              <w:rPr>
                <w:rFonts w:ascii="Times New Roman" w:eastAsia="Calibri" w:hAnsi="Times New Roman" w:cs="Times New Roman"/>
                <w:sz w:val="24"/>
              </w:rPr>
              <w:t>Jóźwicki</w:t>
            </w:r>
            <w:proofErr w:type="spellEnd"/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 – wtorek 10:00 – 12:00</w:t>
            </w:r>
          </w:p>
          <w:p w14:paraId="7BF39140" w14:textId="77777777" w:rsidR="00CB0D69" w:rsidRP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dr n. med. Ewa </w:t>
            </w:r>
            <w:proofErr w:type="spellStart"/>
            <w:r w:rsidRPr="00CB0D69">
              <w:rPr>
                <w:rFonts w:ascii="Times New Roman" w:eastAsia="Calibri" w:hAnsi="Times New Roman" w:cs="Times New Roman"/>
                <w:sz w:val="24"/>
              </w:rPr>
              <w:t>Domanowska</w:t>
            </w:r>
            <w:proofErr w:type="spellEnd"/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 – poniedziałek 9:00 – 11:00</w:t>
            </w:r>
          </w:p>
          <w:p w14:paraId="1B9DD998" w14:textId="78BC8F14" w:rsidR="00CB0D69" w:rsidRP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dr n. med. Natalia Skoczylas-Makowska </w:t>
            </w:r>
            <w:r w:rsidR="00395EFD">
              <w:rPr>
                <w:rFonts w:ascii="Times New Roman" w:eastAsia="Calibri" w:hAnsi="Times New Roman" w:cs="Times New Roman"/>
                <w:sz w:val="24"/>
              </w:rPr>
              <w:t xml:space="preserve">– poniedziałek 7:30 – 8:00, środa 12:30 – 13:00, czwartek 13:00 – 14:00 </w:t>
            </w:r>
          </w:p>
          <w:p w14:paraId="11B14B94" w14:textId="77777777" w:rsidR="00CB0D69" w:rsidRP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>lek. Izabela Neska-Długosz – czwartek 12:00 – 14:00</w:t>
            </w:r>
          </w:p>
          <w:p w14:paraId="59AD1873" w14:textId="07CD7E73" w:rsid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>lek. Radosław Wujec – wtorek 10:00 – 12:00</w:t>
            </w:r>
          </w:p>
          <w:p w14:paraId="7178BDF1" w14:textId="19A75960" w:rsidR="00395EFD" w:rsidRPr="00CB0D69" w:rsidRDefault="00395EFD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lek. Magda Zwolińska – wtorek 13:00 – 15:00</w:t>
            </w:r>
          </w:p>
          <w:p w14:paraId="7BD8B7B8" w14:textId="77777777" w:rsidR="00CB0D69" w:rsidRP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lek. Kacper </w:t>
            </w:r>
            <w:proofErr w:type="spellStart"/>
            <w:r w:rsidRPr="00CB0D69">
              <w:rPr>
                <w:rFonts w:ascii="Times New Roman" w:eastAsia="Calibri" w:hAnsi="Times New Roman" w:cs="Times New Roman"/>
                <w:sz w:val="24"/>
              </w:rPr>
              <w:t>Naglik</w:t>
            </w:r>
            <w:proofErr w:type="spellEnd"/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 – środa 12:00 – 14:00</w:t>
            </w:r>
          </w:p>
          <w:p w14:paraId="4F87950C" w14:textId="3350C6CF" w:rsidR="00FD4FA0" w:rsidRPr="00395EFD" w:rsidRDefault="00CB0D69" w:rsidP="00395EFD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lek. Damian Łukasik – poniedziałek 10:00 </w:t>
            </w:r>
            <w:r w:rsidR="00395EFD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 12:00 </w:t>
            </w:r>
          </w:p>
        </w:tc>
      </w:tr>
      <w:tr w:rsidR="00FD4FA0" w14:paraId="63DBF17A" w14:textId="77777777" w:rsidTr="00E01402">
        <w:tc>
          <w:tcPr>
            <w:tcW w:w="10060" w:type="dxa"/>
            <w:gridSpan w:val="2"/>
            <w:vAlign w:val="center"/>
          </w:tcPr>
          <w:p w14:paraId="510FBD3F" w14:textId="28FAC7F8" w:rsidR="00FD4FA0" w:rsidRDefault="00414FA6">
            <w:pPr>
              <w:spacing w:after="0" w:line="276" w:lineRule="auto"/>
              <w:ind w:left="32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Hlk5245075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Forma(y) i liczba godzin zajęć realizowanych w obszarze przedmiotu </w:t>
            </w:r>
            <w:bookmarkEnd w:id="0"/>
          </w:p>
        </w:tc>
      </w:tr>
      <w:tr w:rsidR="00FD4FA0" w14:paraId="573EE826" w14:textId="77777777" w:rsidTr="00E01402">
        <w:tc>
          <w:tcPr>
            <w:tcW w:w="4672" w:type="dxa"/>
            <w:vAlign w:val="center"/>
          </w:tcPr>
          <w:p w14:paraId="07CBBC20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Wykłady </w:t>
            </w:r>
          </w:p>
        </w:tc>
        <w:tc>
          <w:tcPr>
            <w:tcW w:w="5388" w:type="dxa"/>
            <w:vAlign w:val="center"/>
          </w:tcPr>
          <w:p w14:paraId="2DFCD332" w14:textId="7E658595" w:rsidR="00FD4FA0" w:rsidRDefault="00C87A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 xml:space="preserve"> (realizowane</w:t>
            </w:r>
            <w:r w:rsidR="007A761E">
              <w:rPr>
                <w:rFonts w:ascii="Times New Roman" w:hAnsi="Times New Roman" w:cs="Times New Roman"/>
                <w:sz w:val="24"/>
                <w:szCs w:val="24"/>
              </w:rPr>
              <w:t xml:space="preserve"> stacjonarnie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1BE">
              <w:rPr>
                <w:rFonts w:ascii="Times New Roman" w:hAnsi="Times New Roman" w:cs="Times New Roman"/>
                <w:sz w:val="24"/>
                <w:szCs w:val="24"/>
              </w:rPr>
              <w:t xml:space="preserve"> – na semestr</w:t>
            </w:r>
          </w:p>
        </w:tc>
      </w:tr>
      <w:tr w:rsidR="00FD4FA0" w14:paraId="0D8870C8" w14:textId="77777777" w:rsidTr="00E01402">
        <w:tc>
          <w:tcPr>
            <w:tcW w:w="4672" w:type="dxa"/>
            <w:vAlign w:val="center"/>
          </w:tcPr>
          <w:p w14:paraId="235CE27B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Seminaria</w:t>
            </w:r>
          </w:p>
        </w:tc>
        <w:tc>
          <w:tcPr>
            <w:tcW w:w="5388" w:type="dxa"/>
            <w:vAlign w:val="center"/>
          </w:tcPr>
          <w:p w14:paraId="3D695902" w14:textId="17C299F2" w:rsidR="00FD4FA0" w:rsidRDefault="00FD4FA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0" w14:paraId="03F6D03D" w14:textId="77777777" w:rsidTr="00E01402">
        <w:tc>
          <w:tcPr>
            <w:tcW w:w="4672" w:type="dxa"/>
            <w:vAlign w:val="center"/>
          </w:tcPr>
          <w:p w14:paraId="465B4DF8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5388" w:type="dxa"/>
            <w:vAlign w:val="center"/>
          </w:tcPr>
          <w:p w14:paraId="37CB0E78" w14:textId="37AEEC35" w:rsidR="00FD4FA0" w:rsidRDefault="00661D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761E">
              <w:rPr>
                <w:rFonts w:ascii="Times New Roman" w:hAnsi="Times New Roman" w:cs="Times New Roman"/>
                <w:sz w:val="24"/>
                <w:szCs w:val="24"/>
              </w:rPr>
              <w:t>realizowane stacjonarnie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1BE">
              <w:rPr>
                <w:rFonts w:ascii="Times New Roman" w:hAnsi="Times New Roman" w:cs="Times New Roman"/>
                <w:sz w:val="24"/>
                <w:szCs w:val="24"/>
              </w:rPr>
              <w:t xml:space="preserve"> – na semestr</w:t>
            </w:r>
          </w:p>
        </w:tc>
      </w:tr>
      <w:tr w:rsidR="00FD4FA0" w14:paraId="694A8FBA" w14:textId="77777777" w:rsidTr="00E01402">
        <w:tc>
          <w:tcPr>
            <w:tcW w:w="4672" w:type="dxa"/>
            <w:vAlign w:val="center"/>
          </w:tcPr>
          <w:p w14:paraId="2E9F61F1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5388" w:type="dxa"/>
            <w:vAlign w:val="center"/>
          </w:tcPr>
          <w:p w14:paraId="337D33B7" w14:textId="693C7899" w:rsidR="00FD4FA0" w:rsidRDefault="00FD4FA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D329" w14:textId="77777777" w:rsidR="00DC5F86" w:rsidRDefault="00DC5F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CA5F" w14:textId="77777777" w:rsidR="00DC5F86" w:rsidRDefault="00DC5F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0" w14:paraId="01D7A4B3" w14:textId="77777777" w:rsidTr="00E01402">
        <w:trPr>
          <w:trHeight w:val="350"/>
        </w:trPr>
        <w:tc>
          <w:tcPr>
            <w:tcW w:w="10060" w:type="dxa"/>
            <w:gridSpan w:val="2"/>
            <w:vAlign w:val="center"/>
          </w:tcPr>
          <w:p w14:paraId="6C78BE04" w14:textId="77777777" w:rsidR="006452BB" w:rsidRDefault="006452BB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E8B6C" w14:textId="77777777" w:rsidR="00FD4FA0" w:rsidRDefault="00414FA6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Zasady zaliczenia końcowego</w:t>
            </w:r>
            <w:r w:rsidR="000753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4FA0" w14:paraId="714A5299" w14:textId="77777777" w:rsidTr="00E01402">
        <w:tc>
          <w:tcPr>
            <w:tcW w:w="10060" w:type="dxa"/>
            <w:gridSpan w:val="2"/>
            <w:vAlign w:val="center"/>
          </w:tcPr>
          <w:p w14:paraId="59C64CE6" w14:textId="6346363D" w:rsidR="00FD4FA0" w:rsidRPr="003A59CE" w:rsidRDefault="00414FA6" w:rsidP="00D23E1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Obecność na wszystkich seminariach i ćwiczeniach </w:t>
            </w:r>
            <w:r w:rsidR="003756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A761E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>nieobecność</w:t>
            </w:r>
            <w:r w:rsidR="003756AF">
              <w:rPr>
                <w:rFonts w:ascii="Times New Roman" w:hAnsi="Times New Roman" w:cs="Times New Roman"/>
                <w:sz w:val="24"/>
                <w:szCs w:val="24"/>
              </w:rPr>
              <w:t xml:space="preserve"> musi zostać</w:t>
            </w: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usprawiedliwiona </w:t>
            </w:r>
            <w:r w:rsidR="00290BA7" w:rsidRPr="00D23E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14" w:rsidRPr="00D23E14">
              <w:rPr>
                <w:rFonts w:ascii="Times New Roman" w:hAnsi="Times New Roman" w:cs="Times New Roman"/>
                <w:sz w:val="24"/>
                <w:szCs w:val="24"/>
              </w:rPr>
              <w:t>usprawiedliwienie nieobecności powinno być dostarczone</w:t>
            </w:r>
            <w:r w:rsidR="00D23E14">
              <w:rPr>
                <w:rFonts w:ascii="Times New Roman" w:hAnsi="Times New Roman" w:cs="Times New Roman"/>
                <w:sz w:val="24"/>
                <w:szCs w:val="24"/>
              </w:rPr>
              <w:t xml:space="preserve"> do sekretariatu Katedry Patomorfologii Klinicznej</w:t>
            </w:r>
            <w:r w:rsidR="00D23E14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w trakcie trwania bloku nie później niż 7 dni od </w:t>
            </w:r>
            <w:r w:rsidR="00D23E14">
              <w:rPr>
                <w:rFonts w:ascii="Times New Roman" w:hAnsi="Times New Roman" w:cs="Times New Roman"/>
                <w:sz w:val="24"/>
                <w:szCs w:val="24"/>
              </w:rPr>
              <w:t>ustania przyczyny</w:t>
            </w:r>
            <w:r w:rsidR="00D23E14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nieobecności</w:t>
            </w:r>
            <w:r w:rsidR="00CB0D69">
              <w:rPr>
                <w:rFonts w:ascii="Times New Roman" w:hAnsi="Times New Roman" w:cs="Times New Roman"/>
                <w:sz w:val="24"/>
                <w:szCs w:val="24"/>
              </w:rPr>
              <w:t>. Zwolnienie lekarskie powinno zawierać datę wystawienia</w:t>
            </w:r>
            <w:r w:rsidR="00D23E14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B0D69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Nieobecność </w:t>
            </w:r>
            <w:r w:rsidR="00661D95" w:rsidRPr="00724C74">
              <w:rPr>
                <w:rFonts w:ascii="Times New Roman" w:hAnsi="Times New Roman" w:cs="Times New Roman"/>
                <w:sz w:val="24"/>
                <w:szCs w:val="24"/>
              </w:rPr>
              <w:t>należy zaliczyć u prowadzącego zajęcia indywidualnie.</w:t>
            </w:r>
            <w:r w:rsidR="00CB0D69" w:rsidRPr="00CB0D69">
              <w:rPr>
                <w:rFonts w:ascii="Times New Roman" w:hAnsi="Times New Roman" w:cs="Times New Roman"/>
                <w:sz w:val="24"/>
                <w:szCs w:val="24"/>
              </w:rPr>
              <w:t xml:space="preserve"> Obecność na zajęciach dydaktycznych jest obowiązkowa przez cały czas ich trwania. </w:t>
            </w:r>
            <w:r w:rsidR="00CB0D69" w:rsidRPr="003A59CE">
              <w:rPr>
                <w:rFonts w:ascii="Times New Roman" w:hAnsi="Times New Roman" w:cs="Times New Roman"/>
                <w:sz w:val="24"/>
                <w:szCs w:val="24"/>
              </w:rPr>
              <w:t>Oddalenie się bez wyraźnej zgody asystenta, w czasie trwania zajęć, oznacza ich nie zaliczenie, nawet pomimo napisania wejściówki.</w:t>
            </w:r>
            <w:r w:rsidR="00043D8D" w:rsidRPr="003A59CE">
              <w:rPr>
                <w:rFonts w:ascii="Times New Roman" w:hAnsi="Times New Roman" w:cs="Times New Roman"/>
                <w:sz w:val="24"/>
                <w:szCs w:val="24"/>
              </w:rPr>
              <w:t xml:space="preserve"> Każdorazowo na wyjście z Sali w czasie trwania zajęć zgodę wyraża nauczyciel obecny w sali. </w:t>
            </w:r>
          </w:p>
          <w:p w14:paraId="0047AFD7" w14:textId="25DF420A" w:rsidR="00D23E14" w:rsidRPr="00724C74" w:rsidRDefault="00D23E14" w:rsidP="00DF366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CE">
              <w:rPr>
                <w:rFonts w:ascii="Times New Roman" w:hAnsi="Times New Roman" w:cs="Times New Roman"/>
                <w:sz w:val="24"/>
                <w:szCs w:val="24"/>
              </w:rPr>
              <w:t xml:space="preserve">System punktowy, opierający się na zasadach 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>poniżej:</w:t>
            </w:r>
          </w:p>
          <w:p w14:paraId="2780EA53" w14:textId="374D252A" w:rsidR="007A761E" w:rsidRPr="00724C74" w:rsidRDefault="00414FA6" w:rsidP="00D23E1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W ramach </w:t>
            </w:r>
            <w:r w:rsidR="006452BB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ćwiczeń student przystępuje do  </w:t>
            </w:r>
            <w:r w:rsidR="00661D95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czterech wejściówek </w:t>
            </w:r>
            <w:r w:rsidR="006452BB" w:rsidRPr="00724C74">
              <w:rPr>
                <w:rFonts w:ascii="Times New Roman" w:hAnsi="Times New Roman" w:cs="Times New Roman"/>
                <w:sz w:val="24"/>
                <w:szCs w:val="24"/>
              </w:rPr>
              <w:t>na które</w:t>
            </w:r>
            <w:r w:rsidR="006452BB" w:rsidRPr="003A59CE">
              <w:rPr>
                <w:rFonts w:ascii="Times New Roman" w:hAnsi="Times New Roman" w:cs="Times New Roman"/>
                <w:sz w:val="24"/>
                <w:szCs w:val="24"/>
              </w:rPr>
              <w:t xml:space="preserve"> zagadnienia są przesłane studentom drogą mailową przed rozpoczęciem </w:t>
            </w:r>
            <w:r w:rsidR="00661D95">
              <w:rPr>
                <w:rFonts w:ascii="Times New Roman" w:hAnsi="Times New Roman" w:cs="Times New Roman"/>
                <w:sz w:val="24"/>
                <w:szCs w:val="24"/>
              </w:rPr>
              <w:t>zajęć,</w:t>
            </w:r>
            <w:r w:rsidR="00CB0D69" w:rsidRPr="003A59CE">
              <w:rPr>
                <w:rFonts w:ascii="Times New Roman" w:hAnsi="Times New Roman" w:cs="Times New Roman"/>
                <w:sz w:val="24"/>
                <w:szCs w:val="24"/>
              </w:rPr>
              <w:t xml:space="preserve"> a także są zawieszone na stronie https://www.wl.cm.umk.pl/kizpk</w:t>
            </w:r>
            <w:r w:rsidR="00CB0D69" w:rsidRPr="00CB0D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452BB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140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452BB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ejściówki są oceniane przez prowadzącego seminarium w </w:t>
            </w:r>
            <w:r w:rsidR="006452BB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skali od </w:t>
            </w:r>
            <w:r w:rsidR="00F14B2B" w:rsidRPr="00724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52BB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661D95" w:rsidRPr="00724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52BB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punktów. Kolejność tematów seminariów </w:t>
            </w:r>
            <w:r w:rsidR="006452BB" w:rsidRPr="00724C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może ulegać zmianie</w:t>
            </w:r>
            <w:r w:rsidR="006452BB" w:rsidRPr="00724C74">
              <w:rPr>
                <w:rFonts w:ascii="Times New Roman" w:hAnsi="Times New Roman" w:cs="Times New Roman"/>
                <w:sz w:val="24"/>
                <w:szCs w:val="24"/>
              </w:rPr>
              <w:t>, o której każda grupa poinformowana</w:t>
            </w:r>
            <w:r w:rsidR="00E01402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2BB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zostanie </w:t>
            </w:r>
            <w:r w:rsidR="00F14B2B" w:rsidRPr="00724C74">
              <w:rPr>
                <w:rFonts w:ascii="Times New Roman" w:hAnsi="Times New Roman" w:cs="Times New Roman"/>
                <w:sz w:val="24"/>
                <w:szCs w:val="24"/>
              </w:rPr>
              <w:t>z wyprzedzeniem</w:t>
            </w:r>
            <w:r w:rsidR="006452BB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3951F9" w14:textId="6A2C536B" w:rsidR="00CB0D69" w:rsidRPr="00724C74" w:rsidRDefault="00CB0D69" w:rsidP="00CB0D6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Kolokwium zaliczeniowe odbywa się na </w:t>
            </w:r>
            <w:r w:rsidR="00464F58" w:rsidRPr="00724C74">
              <w:rPr>
                <w:rFonts w:ascii="Times New Roman" w:hAnsi="Times New Roman" w:cs="Times New Roman"/>
                <w:sz w:val="24"/>
                <w:szCs w:val="24"/>
              </w:rPr>
              <w:t>z góry ustalonym terminie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F58" w:rsidRPr="00724C74">
              <w:rPr>
                <w:rFonts w:ascii="Times New Roman" w:hAnsi="Times New Roman" w:cs="Times New Roman"/>
                <w:sz w:val="24"/>
                <w:szCs w:val="24"/>
              </w:rPr>
              <w:t>pod koniec</w:t>
            </w:r>
            <w:r w:rsidR="00661D95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semestru</w:t>
            </w:r>
            <w:r w:rsidR="005254C9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Z kolokwium można uzyskać od   0 – </w:t>
            </w:r>
            <w:r w:rsidR="00661D95" w:rsidRPr="00724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>0 pkt z części teoretycznej oraz 0-5 pkt z części praktycznej. Pytania w części praktycznej sformułowane są w oparciu o preparaty przedstawione na ćwiczeniach mikroskopowych</w:t>
            </w:r>
          </w:p>
          <w:p w14:paraId="342EEE43" w14:textId="77777777" w:rsidR="006452BB" w:rsidRPr="00B848F2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0"/>
                <w:szCs w:val="20"/>
              </w:rPr>
            </w:pPr>
          </w:p>
          <w:p w14:paraId="0777431B" w14:textId="0785546D" w:rsidR="006452BB" w:rsidRPr="00290BA7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Łączna liczba punktów do zdobycia: </w:t>
            </w:r>
            <w:r w:rsidR="00724C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</w:t>
            </w: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pkt</w:t>
            </w:r>
          </w:p>
          <w:p w14:paraId="05561038" w14:textId="432AA8DB" w:rsidR="006452BB" w:rsidRPr="00290BA7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Testy sprawdzające wiedzę na seminarium: </w:t>
            </w:r>
            <w:r w:rsidR="001550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CB0D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pkt</w:t>
            </w:r>
          </w:p>
          <w:p w14:paraId="51B8EAAA" w14:textId="53EEA97C" w:rsidR="006452BB" w:rsidRPr="00290BA7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Kolokwium </w:t>
            </w:r>
            <w:r w:rsidR="00B848F2"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teoretyczn</w:t>
            </w: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e: </w:t>
            </w:r>
            <w:r w:rsidR="001550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 pkt</w:t>
            </w:r>
          </w:p>
          <w:p w14:paraId="65A03B74" w14:textId="2A1CABEC" w:rsidR="00B848F2" w:rsidRPr="00290BA7" w:rsidRDefault="00B84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Kolokwium praktyczne: 5 pkt</w:t>
            </w:r>
          </w:p>
          <w:p w14:paraId="3E0F700C" w14:textId="3D0998F9" w:rsidR="00B848F2" w:rsidRPr="006452BB" w:rsidRDefault="00B848F2" w:rsidP="00724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</w:tr>
      <w:tr w:rsidR="00FD4FA0" w14:paraId="4CAF0750" w14:textId="77777777" w:rsidTr="00E01402">
        <w:tc>
          <w:tcPr>
            <w:tcW w:w="10060" w:type="dxa"/>
            <w:gridSpan w:val="2"/>
            <w:vAlign w:val="center"/>
          </w:tcPr>
          <w:p w14:paraId="4B4FBA68" w14:textId="77777777" w:rsidR="00FD4FA0" w:rsidRDefault="00414FA6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zaliczenia końcowego praktycznego</w:t>
            </w:r>
          </w:p>
        </w:tc>
      </w:tr>
      <w:tr w:rsidR="00FD4FA0" w14:paraId="4CF7A567" w14:textId="77777777" w:rsidTr="00E01402">
        <w:tc>
          <w:tcPr>
            <w:tcW w:w="10060" w:type="dxa"/>
            <w:gridSpan w:val="2"/>
            <w:vAlign w:val="center"/>
          </w:tcPr>
          <w:p w14:paraId="4970F93F" w14:textId="76FDB402" w:rsidR="00D23E14" w:rsidRPr="00D23E14" w:rsidRDefault="00D23E14" w:rsidP="00D23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>zęść praktyczną w oparciu o preparaty przedstawione na ćwiczeniach mikroskopowych (0-5 pkt).</w:t>
            </w:r>
          </w:p>
          <w:p w14:paraId="71B8789A" w14:textId="5ABAC052" w:rsidR="00FD4FA0" w:rsidRDefault="00FD4FA0" w:rsidP="001D45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0"/>
                <w:szCs w:val="20"/>
              </w:rPr>
            </w:pPr>
          </w:p>
        </w:tc>
      </w:tr>
      <w:tr w:rsidR="00FD4FA0" w14:paraId="07FE6A6D" w14:textId="77777777" w:rsidTr="00E01402">
        <w:trPr>
          <w:trHeight w:val="684"/>
        </w:trPr>
        <w:tc>
          <w:tcPr>
            <w:tcW w:w="10060" w:type="dxa"/>
            <w:gridSpan w:val="2"/>
            <w:vAlign w:val="center"/>
          </w:tcPr>
          <w:p w14:paraId="53914B31" w14:textId="55D89B47" w:rsidR="00FD4FA0" w:rsidRDefault="00414FA6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Kryteria uzyskania zaliczenia końcowego w obszarze przedmiotu </w:t>
            </w:r>
          </w:p>
        </w:tc>
      </w:tr>
      <w:tr w:rsidR="00FD4FA0" w14:paraId="26BA6D0A" w14:textId="77777777" w:rsidTr="00E01402">
        <w:tc>
          <w:tcPr>
            <w:tcW w:w="10060" w:type="dxa"/>
            <w:gridSpan w:val="2"/>
            <w:vAlign w:val="center"/>
          </w:tcPr>
          <w:p w14:paraId="37C6DDEF" w14:textId="77777777" w:rsidR="00DF3661" w:rsidRDefault="00414FA6" w:rsidP="00290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Uzyskanie zaliczenia z przedmiotu jest możliwe po zdobyciu 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i więcej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punktów możliwych do zdobycia podczas trwania semestru. 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u w:val="single"/>
                <w:lang w:eastAsia="pl-PL"/>
              </w:rPr>
              <w:t>Maksymalna liczba punktów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ciągu całego cz</w:t>
            </w:r>
            <w:r w:rsidR="00075336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asu trwania przedmiotu wynosi </w:t>
            </w:r>
            <w:r w:rsidR="00724C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pkt</w:t>
            </w:r>
            <w:r w:rsidR="00075336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testy sprawdzające wiedzę na seminarium </w:t>
            </w:r>
            <w:r w:rsidR="001550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CB0D6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pkt + kolokwium teoretyczne </w:t>
            </w:r>
            <w:r w:rsidR="001550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 pkt + kolokwium praktyczne 5 pkt</w:t>
            </w:r>
            <w:r w:rsidR="00724C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  <w:r w:rsidR="00075336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Należy uzyskać </w:t>
            </w:r>
            <w:r w:rsidR="00724C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pkt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03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="00D23E14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więcej,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aby zaliczyć przedmiot. W przypadku uzyskania liczby punktów mniejszej niż wymagane 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% na zaliczenie przedmiotu, student może przystąpić do zaliczenia 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poprawkowego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organizowanego dla wszystkich grup w uzgodnionym terminie po zakończeniu zajęć z wszystkimi grupami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Test poprawkowy 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obejmuj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cały zakres materiału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teoretycznego i praktycznego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semestru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344B5335" w14:textId="77777777" w:rsidR="00724C74" w:rsidRDefault="00724C74" w:rsidP="00290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E0EECB5" w14:textId="77777777" w:rsidR="00724C74" w:rsidRDefault="00724C74" w:rsidP="00290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4E0CFF4" w14:textId="77777777" w:rsidR="00724C74" w:rsidRDefault="00724C74" w:rsidP="00290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B938DF9" w14:textId="3D9B9646" w:rsidR="00724C74" w:rsidRPr="001550F0" w:rsidRDefault="00724C74" w:rsidP="00290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4FA0" w14:paraId="6AF16554" w14:textId="77777777" w:rsidTr="003D5B57">
        <w:trPr>
          <w:trHeight w:val="431"/>
        </w:trPr>
        <w:tc>
          <w:tcPr>
            <w:tcW w:w="10060" w:type="dxa"/>
            <w:gridSpan w:val="2"/>
            <w:vAlign w:val="center"/>
          </w:tcPr>
          <w:p w14:paraId="58F5DB78" w14:textId="06B0DDEB" w:rsidR="00FD4FA0" w:rsidRDefault="003D5B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Zasady egzaminu końcowego:</w:t>
            </w:r>
          </w:p>
        </w:tc>
      </w:tr>
      <w:tr w:rsidR="003D5B57" w14:paraId="4A6DB409" w14:textId="77777777" w:rsidTr="003D5B57">
        <w:trPr>
          <w:trHeight w:val="3048"/>
        </w:trPr>
        <w:tc>
          <w:tcPr>
            <w:tcW w:w="10060" w:type="dxa"/>
            <w:gridSpan w:val="2"/>
            <w:vAlign w:val="center"/>
          </w:tcPr>
          <w:p w14:paraId="1D8D9E35" w14:textId="68F6F796" w:rsidR="003D5B57" w:rsidRDefault="003D5B57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Warunkiem dopuszczenia studenta do egzaminu jest uprzednie zaliczenie zajęć obowiązkowych i uzyskanie zaliczenia </w:t>
            </w:r>
            <w:r w:rsidR="0069690B">
              <w:rPr>
                <w:rFonts w:ascii="Times New Roman" w:hAnsi="Times New Roman" w:cs="Times New Roman"/>
                <w:sz w:val="24"/>
                <w:szCs w:val="24"/>
              </w:rPr>
              <w:t>z przedmiotu (osiągnięcie właściwych efektów kształcenia przypisanych do przedmiotu)</w:t>
            </w:r>
          </w:p>
          <w:p w14:paraId="65852BE0" w14:textId="020EA48C" w:rsidR="0069690B" w:rsidRDefault="0069690B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materiału obowiązującego do egzaminu jest zgodny z efektami kształcenia zawartymi w SYLABUSIE i obejmuje</w:t>
            </w:r>
            <w:r w:rsidR="00DF3661">
              <w:rPr>
                <w:rFonts w:ascii="Times New Roman" w:hAnsi="Times New Roman" w:cs="Times New Roman"/>
                <w:sz w:val="24"/>
                <w:szCs w:val="24"/>
              </w:rPr>
              <w:t xml:space="preserve"> wszystkie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treści prezentowane podczas wykładów</w:t>
            </w:r>
            <w:r w:rsidR="00155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ćwiczeń oraz zawarte w zalecanym piśmiennictwie dla Przedmiotu „</w:t>
            </w:r>
            <w:r w:rsidR="001550F0" w:rsidRPr="001550F0">
              <w:rPr>
                <w:rFonts w:ascii="Times New Roman" w:hAnsi="Times New Roman" w:cs="Times New Roman"/>
                <w:sz w:val="24"/>
                <w:szCs w:val="24"/>
              </w:rPr>
              <w:t>Patomorfologia z elementami patologii jamy ustnej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155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5DCA4" w14:textId="7E67D191" w:rsidR="0069690B" w:rsidRPr="00724C74" w:rsidRDefault="0069690B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egzaminu uzgadniany jest ze starostą roku oraz podawany do wiadomości dla całego 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roku. </w:t>
            </w:r>
          </w:p>
          <w:p w14:paraId="0D0F8D6F" w14:textId="19C392D1" w:rsidR="0069690B" w:rsidRPr="00724C74" w:rsidRDefault="0069690B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>Egzamin składa się z dwóch części – sprawdzianu teoretycznego i praktycznego. Część teoretyczna obejmuje treści programowe wszystkich wykładów</w:t>
            </w:r>
            <w:r w:rsidR="001550F0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ćwiczeń. Test wielokrotnego wyboru składa się z </w:t>
            </w:r>
            <w:r w:rsidR="001550F0" w:rsidRPr="00724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0 pytań z pięcioma odpowiedziami, z których tylko jedna jest poprawna. Za część teoretyczną można uzyskać </w:t>
            </w:r>
            <w:r w:rsidR="001550F0" w:rsidRPr="00724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  <w:r w:rsidR="00DF3661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Część ta trwa </w:t>
            </w:r>
            <w:r w:rsidR="001550F0" w:rsidRPr="00724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4C74" w:rsidRPr="00724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50F0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</w:p>
          <w:p w14:paraId="6F2AA6AA" w14:textId="0001B8B3" w:rsidR="00DF3661" w:rsidRDefault="0069690B" w:rsidP="00DF3661">
            <w:pPr>
              <w:pStyle w:val="Akapitzlist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Część praktyczna egzaminu trwa </w:t>
            </w:r>
            <w:r w:rsidR="00724C74" w:rsidRPr="00724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="001C0811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i polega na wyświetlaniu </w:t>
            </w:r>
            <w:r w:rsidR="00724C74" w:rsidRPr="00724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811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obrazów mikroskopowych z </w:t>
            </w:r>
            <w:r w:rsidR="00724C74" w:rsidRPr="00724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811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pytaniami testowymi lub opisowymi – po </w:t>
            </w:r>
            <w:r w:rsidR="00724C74" w:rsidRPr="00724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811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pkt dla każdego obrazu. Za część praktyczną można uzyskać </w:t>
            </w:r>
            <w:r w:rsidR="001550F0" w:rsidRPr="00724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4C74" w:rsidRPr="00724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811" w:rsidRPr="00724C74"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  <w:r w:rsidR="001C0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49A7C4" w14:textId="77777777" w:rsidR="00724C74" w:rsidRDefault="00724C74" w:rsidP="006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08813" w14:textId="44B4C72B" w:rsidR="0069690B" w:rsidRPr="00290BA7" w:rsidRDefault="0069690B" w:rsidP="006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Ocena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egzaminu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jest wystawiana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wg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liczby uzyskanych punktów</w:t>
            </w:r>
            <w:r w:rsidR="00DF3661">
              <w:rPr>
                <w:rFonts w:ascii="Times New Roman" w:hAnsi="Times New Roman" w:cs="Times New Roman"/>
                <w:sz w:val="24"/>
                <w:szCs w:val="24"/>
              </w:rPr>
              <w:t xml:space="preserve"> z całości egzaminu sumarycznie,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zgodnie z poniższą tabelą: </w:t>
            </w:r>
          </w:p>
          <w:tbl>
            <w:tblPr>
              <w:tblW w:w="5220" w:type="dxa"/>
              <w:tblInd w:w="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25"/>
              <w:gridCol w:w="2395"/>
            </w:tblGrid>
            <w:tr w:rsidR="0069690B" w:rsidRPr="00290BA7" w14:paraId="6CD438A2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110D9" w14:textId="77777777" w:rsidR="0069690B" w:rsidRPr="00290BA7" w:rsidRDefault="0069690B" w:rsidP="0069690B">
                  <w:pPr>
                    <w:shd w:val="clear" w:color="auto" w:fill="FFFFFF"/>
                    <w:tabs>
                      <w:tab w:val="left" w:pos="16"/>
                    </w:tabs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Procent punktów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04DC4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Ocena</w:t>
                  </w:r>
                </w:p>
              </w:tc>
            </w:tr>
            <w:tr w:rsidR="0069690B" w:rsidRPr="00290BA7" w14:paraId="22BD1F67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D964A" w14:textId="417F8978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DF3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≤…&lt;100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B5D09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Bardzo dobry</w:t>
                  </w:r>
                </w:p>
              </w:tc>
            </w:tr>
            <w:tr w:rsidR="0069690B" w:rsidRPr="00290BA7" w14:paraId="554F97A6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A72EE" w14:textId="52F1C01E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88≤…&lt;9</w:t>
                  </w:r>
                  <w:r w:rsidR="00DF3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7FD5D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Dobry plus</w:t>
                  </w:r>
                </w:p>
              </w:tc>
            </w:tr>
            <w:tr w:rsidR="0069690B" w:rsidRPr="00290BA7" w14:paraId="5AD7EFBA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9A45A" w14:textId="77777777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80≤…&lt;88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03DB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Dobry</w:t>
                  </w:r>
                </w:p>
              </w:tc>
            </w:tr>
            <w:tr w:rsidR="0069690B" w:rsidRPr="00290BA7" w14:paraId="79AF4243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4A67C" w14:textId="77777777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71≤…&lt;80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BCD0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Dostateczny plus</w:t>
                  </w:r>
                </w:p>
              </w:tc>
            </w:tr>
            <w:tr w:rsidR="0069690B" w:rsidRPr="00290BA7" w14:paraId="7FE001A6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E0836" w14:textId="77777777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60≤….&lt;71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DF3D6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Dostateczny</w:t>
                  </w:r>
                </w:p>
              </w:tc>
            </w:tr>
            <w:tr w:rsidR="0069690B" w:rsidRPr="00290BA7" w14:paraId="403BEBFA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C4440" w14:textId="77777777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0…&lt;60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32A56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Niedostateczny</w:t>
                  </w:r>
                </w:p>
              </w:tc>
            </w:tr>
          </w:tbl>
          <w:p w14:paraId="0CE0BAC0" w14:textId="77777777" w:rsidR="003D5B57" w:rsidRPr="00A81699" w:rsidRDefault="003D5B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3714" w14:textId="3E3021A9" w:rsidR="003D5B57" w:rsidRPr="00CB0D69" w:rsidRDefault="006A1ADD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99">
              <w:rPr>
                <w:rFonts w:ascii="Times New Roman" w:hAnsi="Times New Roman" w:cs="Times New Roman"/>
                <w:sz w:val="24"/>
                <w:szCs w:val="24"/>
              </w:rPr>
              <w:t>Istnieje możliwość</w:t>
            </w:r>
            <w:r w:rsidR="00A81699" w:rsidRPr="00A81699">
              <w:rPr>
                <w:rFonts w:ascii="Times New Roman" w:hAnsi="Times New Roman" w:cs="Times New Roman"/>
                <w:sz w:val="24"/>
                <w:szCs w:val="24"/>
              </w:rPr>
              <w:t xml:space="preserve"> przystąpienia do terminu „0” przy uzyskaniu </w:t>
            </w:r>
            <w:r w:rsidR="00724C74">
              <w:rPr>
                <w:rFonts w:ascii="Times New Roman" w:hAnsi="Times New Roman" w:cs="Times New Roman"/>
                <w:sz w:val="24"/>
                <w:szCs w:val="24"/>
              </w:rPr>
              <w:t>41 punktów i więcej</w:t>
            </w:r>
            <w:r w:rsidR="00A81699" w:rsidRPr="00A81699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EF4ED9">
              <w:rPr>
                <w:rFonts w:ascii="Times New Roman" w:hAnsi="Times New Roman" w:cs="Times New Roman"/>
                <w:sz w:val="24"/>
                <w:szCs w:val="24"/>
              </w:rPr>
              <w:t xml:space="preserve"> przedmiot</w:t>
            </w:r>
            <w:r w:rsidR="00724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bookmarkStart w:id="1" w:name="_GoBack"/>
            <w:bookmarkEnd w:id="1"/>
            <w:r w:rsidR="00EF4ED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1550F0" w:rsidRPr="001550F0">
              <w:rPr>
                <w:rFonts w:ascii="Times New Roman" w:hAnsi="Times New Roman" w:cs="Times New Roman"/>
                <w:sz w:val="24"/>
                <w:szCs w:val="24"/>
              </w:rPr>
              <w:t>Patomorfologia z elementami patologii jamy ustnej</w:t>
            </w:r>
            <w:r w:rsidR="00EF4ED9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r w:rsidR="00A81699">
              <w:rPr>
                <w:rFonts w:ascii="Times New Roman" w:hAnsi="Times New Roman" w:cs="Times New Roman"/>
                <w:sz w:val="24"/>
                <w:szCs w:val="24"/>
              </w:rPr>
              <w:t xml:space="preserve">Termin ustalany jest bezpośrednio ze studentami, którzy spełniają wymóg. </w:t>
            </w:r>
          </w:p>
        </w:tc>
      </w:tr>
      <w:tr w:rsidR="003D5B57" w14:paraId="35757E18" w14:textId="77777777" w:rsidTr="00E01402">
        <w:trPr>
          <w:trHeight w:val="708"/>
        </w:trPr>
        <w:tc>
          <w:tcPr>
            <w:tcW w:w="10060" w:type="dxa"/>
            <w:gridSpan w:val="2"/>
            <w:vAlign w:val="center"/>
          </w:tcPr>
          <w:p w14:paraId="79B87BE2" w14:textId="65C775FD" w:rsidR="003D5B57" w:rsidRDefault="003D5B57" w:rsidP="003D5B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Szczegółowe zasady BHP wymagane podczas realizacji procesu dydaktycznego w jednostce Wydziału</w:t>
            </w:r>
          </w:p>
        </w:tc>
      </w:tr>
      <w:tr w:rsidR="00FD4FA0" w14:paraId="2FCA541B" w14:textId="77777777" w:rsidTr="00E01402">
        <w:tc>
          <w:tcPr>
            <w:tcW w:w="10060" w:type="dxa"/>
            <w:gridSpan w:val="2"/>
            <w:vAlign w:val="center"/>
          </w:tcPr>
          <w:p w14:paraId="73100760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Studenci przed przystąpieniem do zajęć mają obowiązek pozostawiać odzież wierzchnią w szatni studenckiej znajdującej się na parterze budynku oraz bezwzględnie wyłączyć urządzenia do rejestracji dźwięku i obrazu, w tym telefony komórkowe. Nie ma możliwości przechowywania prywatnych rzeczy studentów na terenie Katedry i Zakładu.  </w:t>
            </w:r>
          </w:p>
          <w:p w14:paraId="48F7E011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Studentów zobowiązuje się do posiadania i zakładania fartucha lekarskiego (materiałowego) a także obuwia zmiennego (stabilnego, antypoślizgowego) przed przystąpieniem do ćwiczeń. </w:t>
            </w:r>
          </w:p>
          <w:p w14:paraId="685BBF1F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Podczas zajęć dydaktycznych obowiązuje bezwzględne przestrzeganie czystości, zakaz spożywania pokarmów, palenia tytoniu, pozostawania pod wpływem alkoholu lub substancji odurzających i </w:t>
            </w: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lastRenderedPageBreak/>
              <w:t xml:space="preserve">używania ognia. Student niestosujący się do tych zaleceń zostanie relegowany </w:t>
            </w: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br/>
              <w:t>z zajęć z odnotowaniem nieobecności .</w:t>
            </w:r>
          </w:p>
          <w:p w14:paraId="22BFE506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Na zajęciach dydaktycznych zabrania się wykonywania zdjęć i/lub nagrywania zajęć dydaktycznych.</w:t>
            </w:r>
          </w:p>
          <w:p w14:paraId="36C1EC13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Odzież ochronna na zajęcia z  sekcji zwłok przekazywana jest studentom przed wejściem na salę sekcyjną, będzie obejmowała: </w:t>
            </w:r>
          </w:p>
          <w:p w14:paraId="488A6706" w14:textId="77777777" w:rsidR="00CB0D69" w:rsidRPr="00CB0D69" w:rsidRDefault="00CB0D69" w:rsidP="00CB0D6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- fartuch </w:t>
            </w:r>
            <w:proofErr w:type="spellStart"/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fizelinowy</w:t>
            </w:r>
            <w:proofErr w:type="spellEnd"/>
          </w:p>
          <w:p w14:paraId="009F2E05" w14:textId="77777777" w:rsidR="00CB0D69" w:rsidRPr="00CB0D69" w:rsidRDefault="00CB0D69" w:rsidP="00CB0D6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- ochraniacze foliowe na buty </w:t>
            </w:r>
          </w:p>
          <w:p w14:paraId="75B52B50" w14:textId="77777777" w:rsidR="00CB0D69" w:rsidRPr="00CB0D69" w:rsidRDefault="00CB0D69" w:rsidP="00CB0D6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- maseczkę chirurgiczną </w:t>
            </w:r>
          </w:p>
          <w:p w14:paraId="424B906D" w14:textId="77777777" w:rsidR="00CB0D69" w:rsidRPr="00CB0D69" w:rsidRDefault="00CB0D69" w:rsidP="00CB0D6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- rękawiczki jednorazowe w przypadku czynnego uczestnictwa w sekcji</w:t>
            </w:r>
          </w:p>
          <w:p w14:paraId="4918F822" w14:textId="186F4CD5" w:rsidR="00CB0D69" w:rsidRPr="003A59CE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Wgląd do „wejściówek” możliwy jest tylko w obecności asystenta prowadzącego dane </w:t>
            </w:r>
            <w:r w:rsidR="001550F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ćwiczenie</w:t>
            </w:r>
            <w:r w:rsidR="00123A88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do</w:t>
            </w:r>
            <w:r w:rsidR="00043D8D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jednego</w:t>
            </w:r>
            <w:r w:rsidR="00123A88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tygodni</w:t>
            </w:r>
            <w:r w:rsidR="00043D8D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a</w:t>
            </w:r>
            <w:r w:rsidR="00123A88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po wpisaniu wyników</w:t>
            </w:r>
            <w:r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.</w:t>
            </w:r>
          </w:p>
          <w:p w14:paraId="5DF3FE20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Wszelkie uwagi dotyczące pytań testowych zarówno na kolokwium zaliczeniowym, </w:t>
            </w:r>
            <w:proofErr w:type="spellStart"/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wykładówce</w:t>
            </w:r>
            <w:proofErr w:type="spellEnd"/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czy egzaminie należy zgłaszać podczas trwania sprawdzianu wiedzy zapisując je na marginesie testu. Po zakończonym teście sprawdzającym wiedzę będzie możliwość wglądu do testu, w obecności asystenta, wyłącznie w celu przeliczenia punktów. </w:t>
            </w:r>
          </w:p>
          <w:p w14:paraId="7469004B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Odpowiedzialność finansową za szkody materialne spowodowane postępowaniem niezgodnym </w:t>
            </w: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br/>
              <w:t>z przepisami BHP i P/POŻ ponosi student.</w:t>
            </w:r>
          </w:p>
          <w:p w14:paraId="7B3D21F2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W czasie ćwiczeń laboratoryjnych studenci obserwują czynności prowadzone przy dygestorium. </w:t>
            </w:r>
          </w:p>
          <w:p w14:paraId="734C45E9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Ze względu na szkodliwe związki chemiczne pracować należy obowiązkowo przy włączonej wentylacji. </w:t>
            </w:r>
          </w:p>
          <w:p w14:paraId="5022E55E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Wszystkie urządzenia medyczne należy obsługiwać zgodnie z obowiązującą instrukcją obsługi, po uprzednim wyjaśnieniu zasad obsługi i zademonstrowaniu przez prowadzącego zajęcia i tylko pod jego ścisłym nadzorem (szczególnie dotyczy to mikrotomów i kriostatów). </w:t>
            </w:r>
          </w:p>
          <w:p w14:paraId="65C62C60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Z uwagi na kontakt ze szkodliwymi substancjami chemicznymi: formaldehyd, ksylen aceton, alkohol absolutny i alkohol 96% skażony, studenci zobowiązani są zapoznać się z charakterystyką tych szkodliwych związków chemicznych.</w:t>
            </w:r>
          </w:p>
          <w:p w14:paraId="7EA147EC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 uwagi na zagrożenie biologiczne (HCV, HBV, HIV) wszystkie czynności laboratoryjne należy wykonywać w jednorazowych rękawicach ochronnych. </w:t>
            </w:r>
          </w:p>
          <w:p w14:paraId="0C511BE7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Ze względu na bezpieczeństwo własne i innych, prace z odczynnikami wykonywać należy zgodnie z instrukcją postępowania (instrukcja wywieszona w pracowni histopatologicznej). </w:t>
            </w:r>
          </w:p>
          <w:p w14:paraId="51EF6407" w14:textId="4F1D8947" w:rsidR="00FD4FA0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Wszystkie niebezpieczne wydarzenia tj. skaleczenia, oparzenia, itp. natychmiast zgłaszać prowadzącemu zajęcia.</w:t>
            </w:r>
          </w:p>
          <w:p w14:paraId="67DD4C70" w14:textId="77777777" w:rsidR="00FD4FA0" w:rsidRDefault="00FD4F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0096D79" w14:textId="77777777" w:rsidR="00FD4FA0" w:rsidRDefault="00FD4FA0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</w:p>
    <w:p w14:paraId="5D5C2173" w14:textId="70F12D02" w:rsidR="00C87A52" w:rsidRDefault="00414FA6" w:rsidP="001550F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Podpis Kierownika Jednostki</w:t>
      </w:r>
    </w:p>
    <w:p w14:paraId="6077FFD0" w14:textId="6F5892D2" w:rsidR="00FD4FA0" w:rsidRDefault="00414FA6" w:rsidP="001550F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</w:t>
      </w:r>
    </w:p>
    <w:sectPr w:rsidR="00FD4FA0" w:rsidSect="00155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42" w:left="85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B686" w14:textId="77777777" w:rsidR="00587142" w:rsidRDefault="00587142">
      <w:pPr>
        <w:spacing w:after="0" w:line="240" w:lineRule="auto"/>
      </w:pPr>
      <w:r>
        <w:separator/>
      </w:r>
    </w:p>
  </w:endnote>
  <w:endnote w:type="continuationSeparator" w:id="0">
    <w:p w14:paraId="5D77AF2F" w14:textId="77777777" w:rsidR="00587142" w:rsidRDefault="0058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600C2" w14:textId="77777777" w:rsidR="00A858F0" w:rsidRDefault="00A858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5627853"/>
      <w:docPartObj>
        <w:docPartGallery w:val="Page Numbers (Bottom of Page)"/>
        <w:docPartUnique/>
      </w:docPartObj>
    </w:sdtPr>
    <w:sdtEndPr/>
    <w:sdtContent>
      <w:p w14:paraId="38581F5D" w14:textId="77777777" w:rsidR="00FD4FA0" w:rsidRDefault="00414FA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75336">
          <w:rPr>
            <w:noProof/>
          </w:rPr>
          <w:t>1</w:t>
        </w:r>
        <w:r>
          <w:fldChar w:fldCharType="end"/>
        </w:r>
      </w:p>
    </w:sdtContent>
  </w:sdt>
  <w:p w14:paraId="27B80F06" w14:textId="77777777" w:rsidR="00FD4FA0" w:rsidRDefault="00FD4F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3D7A" w14:textId="77777777" w:rsidR="00A858F0" w:rsidRDefault="00A85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83D9D" w14:textId="77777777" w:rsidR="00587142" w:rsidRDefault="00587142">
      <w:pPr>
        <w:spacing w:after="0" w:line="240" w:lineRule="auto"/>
      </w:pPr>
      <w:r>
        <w:separator/>
      </w:r>
    </w:p>
  </w:footnote>
  <w:footnote w:type="continuationSeparator" w:id="0">
    <w:p w14:paraId="7F5021D6" w14:textId="77777777" w:rsidR="00587142" w:rsidRDefault="0058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B16D" w14:textId="137E3B17" w:rsidR="00A858F0" w:rsidRDefault="00A858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AEAB2" w14:textId="6CAD961A" w:rsidR="00A858F0" w:rsidRDefault="00A858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4B214" w14:textId="597909EA" w:rsidR="00A858F0" w:rsidRDefault="00A858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A6F"/>
    <w:multiLevelType w:val="hybridMultilevel"/>
    <w:tmpl w:val="64F6AC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735F"/>
    <w:multiLevelType w:val="multilevel"/>
    <w:tmpl w:val="878C889E"/>
    <w:lvl w:ilvl="0">
      <w:start w:val="1"/>
      <w:numFmt w:val="bullet"/>
      <w:lvlText w:val=""/>
      <w:lvlJc w:val="left"/>
      <w:pPr>
        <w:ind w:left="183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610532"/>
    <w:multiLevelType w:val="hybridMultilevel"/>
    <w:tmpl w:val="64F6ACF4"/>
    <w:lvl w:ilvl="0" w:tplc="C91A70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1487C"/>
    <w:multiLevelType w:val="multilevel"/>
    <w:tmpl w:val="F626D242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0A5021"/>
    <w:multiLevelType w:val="hybridMultilevel"/>
    <w:tmpl w:val="64F6ACF4"/>
    <w:lvl w:ilvl="0" w:tplc="C91A70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6207"/>
    <w:multiLevelType w:val="multilevel"/>
    <w:tmpl w:val="BFDC0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bullet"/>
      <w:lvlText w:val=""/>
      <w:lvlJc w:val="left"/>
      <w:pPr>
        <w:ind w:left="1314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74C00"/>
    <w:multiLevelType w:val="multilevel"/>
    <w:tmpl w:val="AAD657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A17AB9"/>
    <w:multiLevelType w:val="hybridMultilevel"/>
    <w:tmpl w:val="AD24B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A12DC"/>
    <w:multiLevelType w:val="multilevel"/>
    <w:tmpl w:val="6BB804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E8C34CF"/>
    <w:multiLevelType w:val="multilevel"/>
    <w:tmpl w:val="29E467C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9A6739"/>
    <w:multiLevelType w:val="hybridMultilevel"/>
    <w:tmpl w:val="3C56175C"/>
    <w:lvl w:ilvl="0" w:tplc="0712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0"/>
    <w:rsid w:val="00043D8D"/>
    <w:rsid w:val="00075336"/>
    <w:rsid w:val="0008673C"/>
    <w:rsid w:val="000E4D8E"/>
    <w:rsid w:val="00123A88"/>
    <w:rsid w:val="001550F0"/>
    <w:rsid w:val="00190B7E"/>
    <w:rsid w:val="001C0811"/>
    <w:rsid w:val="001D454C"/>
    <w:rsid w:val="00290B86"/>
    <w:rsid w:val="00290BA7"/>
    <w:rsid w:val="00371360"/>
    <w:rsid w:val="003756AF"/>
    <w:rsid w:val="00395EFD"/>
    <w:rsid w:val="003A59CE"/>
    <w:rsid w:val="003D5B57"/>
    <w:rsid w:val="00414FA6"/>
    <w:rsid w:val="00464F58"/>
    <w:rsid w:val="004664E7"/>
    <w:rsid w:val="004A1B18"/>
    <w:rsid w:val="005254C9"/>
    <w:rsid w:val="0056012A"/>
    <w:rsid w:val="00587142"/>
    <w:rsid w:val="006038AD"/>
    <w:rsid w:val="006452BB"/>
    <w:rsid w:val="00661D95"/>
    <w:rsid w:val="0069690B"/>
    <w:rsid w:val="006A1ADD"/>
    <w:rsid w:val="006D5C12"/>
    <w:rsid w:val="00714537"/>
    <w:rsid w:val="00724C74"/>
    <w:rsid w:val="007265C2"/>
    <w:rsid w:val="007A0315"/>
    <w:rsid w:val="007A761E"/>
    <w:rsid w:val="007B5BE7"/>
    <w:rsid w:val="008B112E"/>
    <w:rsid w:val="009009E3"/>
    <w:rsid w:val="00920A29"/>
    <w:rsid w:val="00A10304"/>
    <w:rsid w:val="00A641BE"/>
    <w:rsid w:val="00A81699"/>
    <w:rsid w:val="00A82DA1"/>
    <w:rsid w:val="00A858F0"/>
    <w:rsid w:val="00B848F2"/>
    <w:rsid w:val="00BC6935"/>
    <w:rsid w:val="00C055BF"/>
    <w:rsid w:val="00C43BCF"/>
    <w:rsid w:val="00C87A52"/>
    <w:rsid w:val="00CB0D69"/>
    <w:rsid w:val="00CF17B9"/>
    <w:rsid w:val="00D23E14"/>
    <w:rsid w:val="00DC5F86"/>
    <w:rsid w:val="00DF3661"/>
    <w:rsid w:val="00E01402"/>
    <w:rsid w:val="00EF4ED9"/>
    <w:rsid w:val="00F13084"/>
    <w:rsid w:val="00F14B2B"/>
    <w:rsid w:val="00FA0392"/>
    <w:rsid w:val="00FA26E7"/>
    <w:rsid w:val="00FD4FA0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5E921"/>
  <w15:docId w15:val="{B9256705-D200-4DEC-A441-10FA09D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360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1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473C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73C9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662D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662D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662D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62D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E329C"/>
  </w:style>
  <w:style w:type="character" w:customStyle="1" w:styleId="StopkaZnak">
    <w:name w:val="Stopka Znak"/>
    <w:basedOn w:val="Domylnaczcionkaakapitu"/>
    <w:link w:val="Stopka"/>
    <w:qFormat/>
    <w:rsid w:val="006E329C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64FE9"/>
  </w:style>
  <w:style w:type="character" w:customStyle="1" w:styleId="Nagwek1Znak">
    <w:name w:val="Nagłówek 1 Znak"/>
    <w:basedOn w:val="Domylnaczcionkaakapitu"/>
    <w:link w:val="Nagwek1"/>
    <w:uiPriority w:val="9"/>
    <w:qFormat/>
    <w:rsid w:val="006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E1A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6E1A84"/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E1A84"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47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6E1A84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502F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3C99"/>
    <w:rPr>
      <w:rFonts w:cs="Times New Roman"/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662D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662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62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64FE9"/>
    <w:pPr>
      <w:spacing w:after="120" w:line="480" w:lineRule="auto"/>
    </w:pPr>
  </w:style>
  <w:style w:type="paragraph" w:styleId="Lista-kontynuacja">
    <w:name w:val="List Continue"/>
    <w:basedOn w:val="Normalny"/>
    <w:uiPriority w:val="99"/>
    <w:unhideWhenUsed/>
    <w:qFormat/>
    <w:rsid w:val="006E1A84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E1A84"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E1A84"/>
    <w:pPr>
      <w:spacing w:after="160"/>
      <w:ind w:left="360" w:firstLine="360"/>
    </w:pPr>
  </w:style>
  <w:style w:type="numbering" w:customStyle="1" w:styleId="WW8Num28">
    <w:name w:val="WW8Num28"/>
    <w:qFormat/>
  </w:style>
  <w:style w:type="numbering" w:customStyle="1" w:styleId="WW8Num35">
    <w:name w:val="WW8Num35"/>
    <w:qFormat/>
  </w:style>
  <w:style w:type="numbering" w:customStyle="1" w:styleId="WW8Num38">
    <w:name w:val="WW8Num38"/>
    <w:qFormat/>
  </w:style>
  <w:style w:type="numbering" w:customStyle="1" w:styleId="WW8Num12">
    <w:name w:val="WW8Num12"/>
    <w:qFormat/>
  </w:style>
  <w:style w:type="numbering" w:customStyle="1" w:styleId="WW8Num7">
    <w:name w:val="WW8Num7"/>
    <w:qFormat/>
  </w:style>
  <w:style w:type="numbering" w:customStyle="1" w:styleId="WW8Num37">
    <w:name w:val="WW8Num37"/>
    <w:qFormat/>
  </w:style>
  <w:style w:type="table" w:styleId="Tabela-Siatka">
    <w:name w:val="Table Grid"/>
    <w:basedOn w:val="Standardowy"/>
    <w:uiPriority w:val="39"/>
    <w:rsid w:val="0020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B3F8-D6A9-4EED-BA82-3FBB1B14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1289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Wiśniewski</dc:creator>
  <dc:description/>
  <cp:lastModifiedBy>magdaw </cp:lastModifiedBy>
  <cp:revision>18</cp:revision>
  <cp:lastPrinted>2026-02-13T10:46:00Z</cp:lastPrinted>
  <dcterms:created xsi:type="dcterms:W3CDTF">2022-10-05T05:51:00Z</dcterms:created>
  <dcterms:modified xsi:type="dcterms:W3CDTF">2026-02-18T14:07:00Z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