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5D59" w14:textId="70F7C2E1" w:rsidR="008A7105" w:rsidRPr="00B05793" w:rsidRDefault="008A7105" w:rsidP="008A7105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1F1C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Zasady odbywania zajęć w Katedrze Chorób Oczu oraz zaliczenia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przedmiotu Okulistyka – choroby tylnego odcinka </w:t>
      </w:r>
      <w:r w:rsidRPr="001F1CBE">
        <w:rPr>
          <w:rFonts w:ascii="Times New Roman" w:hAnsi="Times New Roman" w:cs="Times New Roman"/>
          <w:b/>
          <w:bCs/>
          <w:iCs/>
          <w:sz w:val="24"/>
          <w:szCs w:val="24"/>
        </w:rPr>
        <w:t>w roku akademickim 2021/2022</w:t>
      </w:r>
    </w:p>
    <w:p w14:paraId="6C21D1AA" w14:textId="77777777" w:rsidR="008A7105" w:rsidRPr="00E1227B" w:rsidRDefault="008A7105" w:rsidP="008A710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14:paraId="7E6639B4" w14:textId="77777777" w:rsidTr="00A4353A">
        <w:tc>
          <w:tcPr>
            <w:tcW w:w="10060" w:type="dxa"/>
            <w:gridSpan w:val="2"/>
          </w:tcPr>
          <w:p w14:paraId="4000EBE3" w14:textId="77777777"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14:paraId="3F121422" w14:textId="77777777" w:rsidTr="00A4353A">
        <w:tc>
          <w:tcPr>
            <w:tcW w:w="4673" w:type="dxa"/>
            <w:vAlign w:val="center"/>
          </w:tcPr>
          <w:p w14:paraId="32C0B137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255B6A84" w14:textId="621513B8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Chorób Oczu</w:t>
            </w:r>
          </w:p>
        </w:tc>
      </w:tr>
      <w:tr w:rsidR="00957DD8" w:rsidRPr="00A4353A" w14:paraId="10820C31" w14:textId="77777777" w:rsidTr="00A4353A">
        <w:tc>
          <w:tcPr>
            <w:tcW w:w="4673" w:type="dxa"/>
            <w:vAlign w:val="center"/>
          </w:tcPr>
          <w:p w14:paraId="339B2F7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378131C" w14:textId="210A076C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n. med. Grażyna Malukiewicz</w:t>
            </w:r>
          </w:p>
        </w:tc>
      </w:tr>
      <w:tr w:rsidR="00957DD8" w:rsidRPr="00A4353A" w14:paraId="723396C9" w14:textId="77777777" w:rsidTr="00A4353A">
        <w:tc>
          <w:tcPr>
            <w:tcW w:w="4673" w:type="dxa"/>
            <w:vAlign w:val="center"/>
          </w:tcPr>
          <w:p w14:paraId="681A604E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56ED8C7E" w14:textId="077E954A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Prof. dr hab. n. med. Grażyna Malukiewicz</w:t>
            </w:r>
          </w:p>
        </w:tc>
      </w:tr>
      <w:tr w:rsidR="00957DD8" w:rsidRPr="00A4353A" w14:paraId="0DC4474F" w14:textId="77777777" w:rsidTr="00A4353A">
        <w:tc>
          <w:tcPr>
            <w:tcW w:w="4673" w:type="dxa"/>
            <w:vAlign w:val="center"/>
          </w:tcPr>
          <w:p w14:paraId="402C9521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961F36D" w14:textId="3F74417C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Karolina Kaźmierczak</w:t>
            </w:r>
          </w:p>
        </w:tc>
      </w:tr>
      <w:tr w:rsidR="00957DD8" w:rsidRPr="00A4353A" w14:paraId="5B59FC3F" w14:textId="77777777" w:rsidTr="00A4353A">
        <w:tc>
          <w:tcPr>
            <w:tcW w:w="4673" w:type="dxa"/>
            <w:vAlign w:val="center"/>
          </w:tcPr>
          <w:p w14:paraId="3DF069B5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3AF84B23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Prof. dr hab. n. med. Grażyna Malukiewicz</w:t>
            </w:r>
          </w:p>
          <w:p w14:paraId="62674BF0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hab. n.med. Hanna Lesiewska, prof. UMK</w:t>
            </w:r>
          </w:p>
          <w:p w14:paraId="2FD9284E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Joanna Stafiej</w:t>
            </w:r>
          </w:p>
          <w:p w14:paraId="38EC0450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Karolina Kaźmierczak</w:t>
            </w:r>
          </w:p>
          <w:p w14:paraId="516E51F2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Magdalena Pol</w:t>
            </w:r>
          </w:p>
          <w:p w14:paraId="104A8570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Adriana Laudencka</w:t>
            </w:r>
          </w:p>
          <w:p w14:paraId="15EDC8F8" w14:textId="77777777" w:rsidR="0022757F" w:rsidRPr="0022757F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Bartosz Sikorski</w:t>
            </w:r>
          </w:p>
          <w:p w14:paraId="477FA5E2" w14:textId="77777777" w:rsidR="00957DD8" w:rsidRDefault="0022757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ab/>
              <w:t>dr n. med. Mateusz Burduk</w:t>
            </w:r>
          </w:p>
          <w:p w14:paraId="284B1B1B" w14:textId="77777777" w:rsidR="00106B9F" w:rsidRDefault="00106B9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lek. Albert Włodarczyk (doktorant)</w:t>
            </w:r>
          </w:p>
          <w:p w14:paraId="4B140D95" w14:textId="6DBAB718" w:rsidR="00106B9F" w:rsidRPr="006971E8" w:rsidRDefault="00106B9F" w:rsidP="0022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lek. Paweł Reisner (doktorant)</w:t>
            </w:r>
          </w:p>
        </w:tc>
      </w:tr>
      <w:tr w:rsidR="00957DD8" w:rsidRPr="00A4353A" w14:paraId="02717809" w14:textId="77777777" w:rsidTr="00A4353A">
        <w:tc>
          <w:tcPr>
            <w:tcW w:w="4673" w:type="dxa"/>
            <w:vAlign w:val="center"/>
          </w:tcPr>
          <w:p w14:paraId="262EE50A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7015768A" w14:textId="5C39236D" w:rsidR="00957DD8" w:rsidRPr="006971E8" w:rsidRDefault="00106B9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Okulistyka – choroby </w:t>
            </w:r>
            <w:r w:rsidR="00C62329">
              <w:rPr>
                <w:rFonts w:ascii="Times New Roman" w:hAnsi="Times New Roman" w:cs="Times New Roman"/>
                <w:sz w:val="24"/>
                <w:szCs w:val="24"/>
              </w:rPr>
              <w:t>tyln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 odcink</w:t>
            </w:r>
            <w:r w:rsidR="00C623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7DD8" w:rsidRPr="00A4353A" w14:paraId="4D215955" w14:textId="77777777" w:rsidTr="00A4353A">
        <w:tc>
          <w:tcPr>
            <w:tcW w:w="4673" w:type="dxa"/>
            <w:vAlign w:val="center"/>
          </w:tcPr>
          <w:p w14:paraId="561693F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3B372208" w14:textId="3281C56E" w:rsidR="00957DD8" w:rsidRPr="00106B9F" w:rsidRDefault="00106B9F" w:rsidP="006971E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B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dotyczy</w:t>
            </w:r>
          </w:p>
        </w:tc>
      </w:tr>
      <w:tr w:rsidR="00957DD8" w:rsidRPr="00A4353A" w14:paraId="452A6109" w14:textId="77777777" w:rsidTr="00A4353A">
        <w:tc>
          <w:tcPr>
            <w:tcW w:w="4673" w:type="dxa"/>
            <w:vAlign w:val="center"/>
          </w:tcPr>
          <w:p w14:paraId="136CF63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562E3169" w14:textId="46266034" w:rsidR="00957DD8" w:rsidRPr="006971E8" w:rsidRDefault="00106B9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Okulistyka – choroby </w:t>
            </w:r>
            <w:r w:rsidR="00C62329">
              <w:rPr>
                <w:rFonts w:ascii="Times New Roman" w:hAnsi="Times New Roman" w:cs="Times New Roman"/>
                <w:sz w:val="24"/>
                <w:szCs w:val="24"/>
              </w:rPr>
              <w:t>tyln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 odcinka</w:t>
            </w:r>
          </w:p>
        </w:tc>
      </w:tr>
      <w:tr w:rsidR="00957DD8" w:rsidRPr="00A4353A" w14:paraId="5D49E540" w14:textId="77777777" w:rsidTr="00A4353A">
        <w:tc>
          <w:tcPr>
            <w:tcW w:w="4673" w:type="dxa"/>
            <w:vAlign w:val="center"/>
          </w:tcPr>
          <w:p w14:paraId="05D9729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020D8F94" w14:textId="0F13F1DD" w:rsidR="00957DD8" w:rsidRPr="006971E8" w:rsidRDefault="00106B9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Optometria </w:t>
            </w:r>
          </w:p>
        </w:tc>
      </w:tr>
      <w:tr w:rsidR="00957DD8" w:rsidRPr="00A4353A" w14:paraId="1DA66737" w14:textId="77777777" w:rsidTr="00A4353A">
        <w:tc>
          <w:tcPr>
            <w:tcW w:w="4673" w:type="dxa"/>
            <w:vAlign w:val="center"/>
          </w:tcPr>
          <w:p w14:paraId="76ECA2D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6F2FF3BC" w14:textId="571A60BA" w:rsidR="00957DD8" w:rsidRPr="006971E8" w:rsidRDefault="006E448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Hybrydowa (wykłady – forma zdalna (Platforma Microsoft Teams), ćwiczenia – forma stacjonarna)</w:t>
            </w:r>
          </w:p>
        </w:tc>
      </w:tr>
      <w:tr w:rsidR="00957DD8" w:rsidRPr="00A4353A" w14:paraId="788C85BC" w14:textId="77777777" w:rsidTr="00A4353A">
        <w:tc>
          <w:tcPr>
            <w:tcW w:w="4673" w:type="dxa"/>
            <w:vAlign w:val="center"/>
          </w:tcPr>
          <w:p w14:paraId="13D25C7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0831C62E" w14:textId="49458674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23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57DD8" w:rsidRPr="00A4353A" w14:paraId="4B461FAC" w14:textId="77777777" w:rsidTr="00A4353A">
        <w:tc>
          <w:tcPr>
            <w:tcW w:w="4673" w:type="dxa"/>
            <w:vAlign w:val="center"/>
          </w:tcPr>
          <w:p w14:paraId="41F371E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3364DD38" w14:textId="77777777"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3F877952" w14:textId="1D9BB56C" w:rsidR="00957DD8" w:rsidRPr="006971E8" w:rsidRDefault="0022757F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poniedziałek godz. 1</w:t>
            </w:r>
            <w:r w:rsidR="0010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10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5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14294" w:rsidRPr="00A4353A" w14:paraId="3306A202" w14:textId="77777777" w:rsidTr="00272BB8">
        <w:tc>
          <w:tcPr>
            <w:tcW w:w="10060" w:type="dxa"/>
            <w:gridSpan w:val="2"/>
            <w:vAlign w:val="center"/>
          </w:tcPr>
          <w:p w14:paraId="5C39DE01" w14:textId="77777777"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957DD8" w:rsidRPr="00A4353A" w14:paraId="3B518F43" w14:textId="77777777" w:rsidTr="00314294">
        <w:tc>
          <w:tcPr>
            <w:tcW w:w="4673" w:type="dxa"/>
            <w:vAlign w:val="center"/>
          </w:tcPr>
          <w:p w14:paraId="2081F1CF" w14:textId="77777777"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342645D3" w14:textId="793B1425" w:rsidR="00957DD8" w:rsidRPr="006971E8" w:rsidRDefault="004F79B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godz.</w:t>
            </w:r>
          </w:p>
        </w:tc>
      </w:tr>
      <w:tr w:rsidR="00314294" w:rsidRPr="00A4353A" w14:paraId="6AFD7AAC" w14:textId="77777777" w:rsidTr="00314294">
        <w:tc>
          <w:tcPr>
            <w:tcW w:w="4673" w:type="dxa"/>
            <w:vAlign w:val="center"/>
          </w:tcPr>
          <w:p w14:paraId="42F1CE7D" w14:textId="77777777"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518B6062" w14:textId="28C8D6E1" w:rsidR="00314294" w:rsidRPr="004F79BC" w:rsidRDefault="004F79B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7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dotyczy</w:t>
            </w:r>
          </w:p>
        </w:tc>
      </w:tr>
      <w:tr w:rsidR="00A4353A" w:rsidRPr="00A4353A" w14:paraId="1233A172" w14:textId="77777777" w:rsidTr="00314294">
        <w:tc>
          <w:tcPr>
            <w:tcW w:w="4673" w:type="dxa"/>
            <w:vAlign w:val="center"/>
          </w:tcPr>
          <w:p w14:paraId="195807FB" w14:textId="77777777"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6136E673" w14:textId="5972BBBF" w:rsidR="00A4353A" w:rsidRPr="006971E8" w:rsidRDefault="004F79B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57F">
              <w:rPr>
                <w:rFonts w:ascii="Times New Roman" w:hAnsi="Times New Roman" w:cs="Times New Roman"/>
                <w:sz w:val="24"/>
                <w:szCs w:val="24"/>
              </w:rPr>
              <w:t>5 godz.</w:t>
            </w:r>
          </w:p>
        </w:tc>
      </w:tr>
      <w:tr w:rsidR="00314294" w:rsidRPr="00A4353A" w14:paraId="6C97C7CE" w14:textId="77777777" w:rsidTr="00314294">
        <w:tc>
          <w:tcPr>
            <w:tcW w:w="4673" w:type="dxa"/>
            <w:vAlign w:val="center"/>
          </w:tcPr>
          <w:p w14:paraId="61C559D2" w14:textId="77777777"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6B13AB19" w14:textId="5A8B197C" w:rsidR="00314294" w:rsidRPr="004F79BC" w:rsidRDefault="0022757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7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dotyczy</w:t>
            </w:r>
          </w:p>
        </w:tc>
      </w:tr>
      <w:tr w:rsidR="006971E8" w:rsidRPr="00A4353A" w14:paraId="4323C1F0" w14:textId="77777777" w:rsidTr="00406307">
        <w:tc>
          <w:tcPr>
            <w:tcW w:w="10060" w:type="dxa"/>
            <w:gridSpan w:val="2"/>
            <w:vAlign w:val="center"/>
          </w:tcPr>
          <w:p w14:paraId="15D90F11" w14:textId="77777777"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14:paraId="3DE71A3A" w14:textId="77777777" w:rsidTr="005577C8">
        <w:tc>
          <w:tcPr>
            <w:tcW w:w="10060" w:type="dxa"/>
            <w:gridSpan w:val="2"/>
            <w:vAlign w:val="center"/>
          </w:tcPr>
          <w:p w14:paraId="4DD3E7F5" w14:textId="1967DAE5" w:rsidR="006971E8" w:rsidRDefault="0022757F" w:rsidP="00AE43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</w:t>
            </w:r>
            <w:r w:rsidR="00930DAC"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składający się z</w:t>
            </w:r>
            <w:r w:rsidR="00930DAC"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F7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pytań  – każde z nich zawiera pięć możliwych odpowiedzi – z 1 werstraktorem i 4 dystraktorami (bez punktów ujemnych za niewłaściwą odpowiedź)</w:t>
            </w:r>
          </w:p>
          <w:p w14:paraId="4F2FECA3" w14:textId="2AA7E21D" w:rsidR="00930DAC" w:rsidRPr="00930DAC" w:rsidRDefault="00930DAC" w:rsidP="00AE43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teoretyczny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stanowi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 wyniku końcowego</w:t>
            </w:r>
          </w:p>
          <w:p w14:paraId="55767EB0" w14:textId="77777777" w:rsidR="00F1759D" w:rsidRPr="00F1759D" w:rsidRDefault="00F1759D" w:rsidP="00AE43F0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</w:tr>
      <w:tr w:rsidR="00981F37" w:rsidRPr="00A4353A" w14:paraId="429A4E86" w14:textId="77777777" w:rsidTr="00600215">
        <w:tc>
          <w:tcPr>
            <w:tcW w:w="10060" w:type="dxa"/>
            <w:gridSpan w:val="2"/>
            <w:vAlign w:val="center"/>
          </w:tcPr>
          <w:p w14:paraId="65E5F950" w14:textId="77777777" w:rsidR="00981F37" w:rsidRPr="006971E8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981F37" w:rsidRPr="00A4353A" w14:paraId="05512636" w14:textId="77777777" w:rsidTr="00ED23CF">
        <w:tc>
          <w:tcPr>
            <w:tcW w:w="10060" w:type="dxa"/>
            <w:gridSpan w:val="2"/>
            <w:vAlign w:val="center"/>
          </w:tcPr>
          <w:p w14:paraId="34C34A10" w14:textId="60835669" w:rsidR="00F1759D" w:rsidRDefault="00930DAC" w:rsidP="00F17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 praktyczny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przeprowadzany w ostatnim dniu zajęć w formie ustnej - 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obejmuje sprawdzenie wiedzy z zakresu stosowanych metod diagnostycznych w 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chorobach tylnego odcinka oka oraz 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umiejętnoś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zaproponowania danego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badania okulistycznego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 diagnostyce chorób tylnego odcinka oka.</w:t>
            </w:r>
          </w:p>
          <w:p w14:paraId="291A5C28" w14:textId="47EAB8BE" w:rsidR="00930DAC" w:rsidRDefault="00930DAC" w:rsidP="00F17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Egzamin praktyczny stanowi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93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 wyniku końcowego</w:t>
            </w:r>
          </w:p>
          <w:p w14:paraId="12BE356E" w14:textId="26147FB9" w:rsidR="00A45D95" w:rsidRDefault="00A45D95" w:rsidP="00F17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B74AFF9" w14:textId="77777777" w:rsidR="00A45D95" w:rsidRPr="00930DAC" w:rsidRDefault="00A45D95" w:rsidP="00F17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2FD2A6B" w14:textId="77777777" w:rsidR="00981F37" w:rsidRPr="00981F37" w:rsidRDefault="00981F37" w:rsidP="00AE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F0" w:rsidRPr="00A4353A" w14:paraId="79EF0395" w14:textId="77777777" w:rsidTr="009E6216">
        <w:tc>
          <w:tcPr>
            <w:tcW w:w="10060" w:type="dxa"/>
            <w:gridSpan w:val="2"/>
            <w:vAlign w:val="center"/>
          </w:tcPr>
          <w:p w14:paraId="1533A935" w14:textId="77777777" w:rsidR="00AE43F0" w:rsidRPr="00AE43F0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AE43F0" w:rsidRPr="00A4353A" w14:paraId="3221D3A0" w14:textId="77777777" w:rsidTr="00AA5847">
        <w:tc>
          <w:tcPr>
            <w:tcW w:w="10060" w:type="dxa"/>
            <w:gridSpan w:val="2"/>
            <w:vAlign w:val="center"/>
          </w:tcPr>
          <w:p w14:paraId="3BFAC36F" w14:textId="77777777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2E612EF" w14:textId="58947A03" w:rsidR="00996182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 prak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tyczn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składa się z dwóch części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2DEAA322" w14:textId="639E7307" w:rsidR="000A0477" w:rsidRDefault="000A0477" w:rsidP="000A047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 interpretacji wybranych wyników badań chorób</w:t>
            </w:r>
            <w:r w:rsidRPr="00996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tylnego odcinka oka oraz znajomości wpływu chorób i stanów po zastosowanym leczeniu na ostrość wzroku i refrakcję pacjenta</w:t>
            </w:r>
          </w:p>
          <w:p w14:paraId="61E6936C" w14:textId="37AFA3D7" w:rsidR="002C6580" w:rsidRPr="00996182" w:rsidRDefault="00C62329" w:rsidP="002C658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Umiejętności 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zaproponowania odpowiedniego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badania </w:t>
            </w:r>
            <w:r w:rsidR="000A04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okulistycznego w chorobach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tylnego odcinka oka</w:t>
            </w:r>
            <w:r w:rsidR="00996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5B277F0" w14:textId="77777777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F723BAC" w14:textId="0DBC0412" w:rsidR="00996182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teoretyczny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testowy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96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 się z 2 części:</w:t>
            </w:r>
          </w:p>
          <w:p w14:paraId="30C394B2" w14:textId="6439406B" w:rsidR="00996182" w:rsidRDefault="00996182" w:rsidP="0099618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</w:t>
            </w:r>
            <w:r w:rsidR="002C6580" w:rsidRPr="00996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zakresu </w:t>
            </w:r>
            <w:r w:rsidR="00C0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diagnostyki różnicowej </w:t>
            </w:r>
            <w:r w:rsidR="005D37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najczęstszych chorób przedniego odcinka oka</w:t>
            </w:r>
          </w:p>
          <w:p w14:paraId="582E2943" w14:textId="591C4A26" w:rsidR="002C6580" w:rsidRDefault="00996182" w:rsidP="0099618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 zakresu</w:t>
            </w:r>
            <w:r w:rsidR="00C0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znajomości metod leczenia najczęstszych chorób tylnego odcinka oka</w:t>
            </w:r>
            <w:r w:rsidR="002C6580" w:rsidRPr="00996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3B7BF9F" w14:textId="77777777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DF1C8F3" w14:textId="3F7DAB23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Każda część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jest punktowana:</w:t>
            </w:r>
          </w:p>
          <w:p w14:paraId="3BC9CED9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D673E1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page" w:horzAnchor="margin" w:tblpY="36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5"/>
              <w:gridCol w:w="1765"/>
              <w:gridCol w:w="1741"/>
              <w:gridCol w:w="1767"/>
              <w:gridCol w:w="1662"/>
            </w:tblGrid>
            <w:tr w:rsidR="000A0477" w:rsidRPr="002C6580" w14:paraId="5FD9B75F" w14:textId="77777777" w:rsidTr="000A0477">
              <w:tc>
                <w:tcPr>
                  <w:tcW w:w="1765" w:type="dxa"/>
                  <w:vAlign w:val="center"/>
                </w:tcPr>
                <w:p w14:paraId="1DD697E1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Rodzaj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egzaminu</w:t>
                  </w:r>
                </w:p>
              </w:tc>
              <w:tc>
                <w:tcPr>
                  <w:tcW w:w="1765" w:type="dxa"/>
                  <w:vAlign w:val="center"/>
                </w:tcPr>
                <w:p w14:paraId="4C8D58A5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Część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egzaminu</w:t>
                  </w:r>
                </w:p>
              </w:tc>
              <w:tc>
                <w:tcPr>
                  <w:tcW w:w="1741" w:type="dxa"/>
                  <w:vAlign w:val="center"/>
                </w:tcPr>
                <w:p w14:paraId="658E9DD6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Liczba punktów maksymalna do uzyskania</w:t>
                  </w:r>
                </w:p>
              </w:tc>
              <w:tc>
                <w:tcPr>
                  <w:tcW w:w="1767" w:type="dxa"/>
                  <w:vAlign w:val="center"/>
                </w:tcPr>
                <w:p w14:paraId="2B4A0A2A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Minimalna liczba punktów dla uzyskania oceny pozytywnej</w:t>
                  </w:r>
                </w:p>
              </w:tc>
              <w:tc>
                <w:tcPr>
                  <w:tcW w:w="1662" w:type="dxa"/>
                  <w:vAlign w:val="center"/>
                </w:tcPr>
                <w:p w14:paraId="5274A48E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Całkowita liczba punktów do uzyskania</w:t>
                  </w:r>
                </w:p>
              </w:tc>
            </w:tr>
            <w:tr w:rsidR="000A0477" w:rsidRPr="002C6580" w14:paraId="0CAD4C35" w14:textId="77777777" w:rsidTr="000A0477">
              <w:tc>
                <w:tcPr>
                  <w:tcW w:w="1765" w:type="dxa"/>
                  <w:vMerge w:val="restart"/>
                  <w:vAlign w:val="center"/>
                </w:tcPr>
                <w:p w14:paraId="3E5CA4E8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Praktyczn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765" w:type="dxa"/>
                  <w:vAlign w:val="center"/>
                </w:tcPr>
                <w:p w14:paraId="032F399E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41" w:type="dxa"/>
                  <w:vAlign w:val="center"/>
                </w:tcPr>
                <w:p w14:paraId="45C21400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7" w:type="dxa"/>
                  <w:vAlign w:val="center"/>
                </w:tcPr>
                <w:p w14:paraId="41862748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62" w:type="dxa"/>
                  <w:vMerge w:val="restart"/>
                  <w:vAlign w:val="center"/>
                </w:tcPr>
                <w:p w14:paraId="529DD97C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20</w:t>
                  </w:r>
                </w:p>
              </w:tc>
            </w:tr>
            <w:tr w:rsidR="000A0477" w:rsidRPr="002C6580" w14:paraId="36DB2A4D" w14:textId="77777777" w:rsidTr="000A0477">
              <w:tc>
                <w:tcPr>
                  <w:tcW w:w="1765" w:type="dxa"/>
                  <w:vMerge/>
                  <w:vAlign w:val="center"/>
                </w:tcPr>
                <w:p w14:paraId="6F513EC7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 w14:paraId="1AE25AF8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741" w:type="dxa"/>
                  <w:vAlign w:val="center"/>
                </w:tcPr>
                <w:p w14:paraId="78C8AD8A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67" w:type="dxa"/>
                  <w:vAlign w:val="center"/>
                </w:tcPr>
                <w:p w14:paraId="45B671FB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2" w:type="dxa"/>
                  <w:vMerge/>
                  <w:vAlign w:val="center"/>
                </w:tcPr>
                <w:p w14:paraId="033F84ED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A0477" w:rsidRPr="002C6580" w14:paraId="28823D42" w14:textId="77777777" w:rsidTr="000A0477">
              <w:tc>
                <w:tcPr>
                  <w:tcW w:w="1765" w:type="dxa"/>
                  <w:vMerge w:val="restart"/>
                  <w:vAlign w:val="center"/>
                </w:tcPr>
                <w:p w14:paraId="10F29A47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Teoretyczny</w:t>
                  </w:r>
                </w:p>
              </w:tc>
              <w:tc>
                <w:tcPr>
                  <w:tcW w:w="1765" w:type="dxa"/>
                  <w:vAlign w:val="center"/>
                </w:tcPr>
                <w:p w14:paraId="46155927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41" w:type="dxa"/>
                  <w:vAlign w:val="center"/>
                </w:tcPr>
                <w:p w14:paraId="3C0A1252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67" w:type="dxa"/>
                  <w:vAlign w:val="center"/>
                </w:tcPr>
                <w:p w14:paraId="696DB5DE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62" w:type="dxa"/>
                  <w:vMerge w:val="restart"/>
                  <w:vAlign w:val="center"/>
                </w:tcPr>
                <w:p w14:paraId="30E6FCEF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30</w:t>
                  </w:r>
                </w:p>
              </w:tc>
            </w:tr>
            <w:tr w:rsidR="000A0477" w:rsidRPr="002C6580" w14:paraId="1A688C98" w14:textId="77777777" w:rsidTr="000A0477">
              <w:tc>
                <w:tcPr>
                  <w:tcW w:w="1765" w:type="dxa"/>
                  <w:vMerge/>
                </w:tcPr>
                <w:p w14:paraId="2774DE0D" w14:textId="77777777" w:rsidR="000A0477" w:rsidRPr="002C6580" w:rsidRDefault="000A0477" w:rsidP="000A0477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 w14:paraId="497760BA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741" w:type="dxa"/>
                  <w:vAlign w:val="center"/>
                </w:tcPr>
                <w:p w14:paraId="03C6AEC5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2C658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7" w:type="dxa"/>
                  <w:vAlign w:val="center"/>
                </w:tcPr>
                <w:p w14:paraId="782B5DF5" w14:textId="77777777" w:rsidR="000A0477" w:rsidRPr="002C6580" w:rsidRDefault="000A0477" w:rsidP="000A047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62" w:type="dxa"/>
                  <w:vMerge/>
                </w:tcPr>
                <w:p w14:paraId="32C06828" w14:textId="77777777" w:rsidR="000A0477" w:rsidRPr="002C6580" w:rsidRDefault="000A0477" w:rsidP="000A0477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7C81AFEF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70C253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CC387D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3C32275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A688AB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CD12EF2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128030" w14:textId="77777777" w:rsidR="00996182" w:rsidRDefault="00996182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2F7321F" w14:textId="77777777" w:rsidR="00C07196" w:rsidRDefault="00C07196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BA786E" w14:textId="2D55785C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Warunkiem dopuszczenia studenta do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 teoretycznego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jest uzyskanie minimalnej liczby punktów z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praktycznego (z każdej części – punktacja wskazana w tabeli powyżej). W przypadku nie uzyskania minimalnej liczby z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praktycznego dopuszcza się dwie poprawy obejmujące zakresem całość lub tylko część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gdzie nie została uzyskana właściwa dla oceny pozytywnej liczba punktów. Poprawa jest identyczną metodą weryfikacji efektów uczenia się, jak w pierwszym terminie. </w:t>
            </w:r>
          </w:p>
          <w:p w14:paraId="2EAABCB9" w14:textId="579969A3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Kryterium otrzymania oceny pozytywnej z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egzaminu 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końcowego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teoretycznego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jest uzyskanie minimalnej liczby punktów (z każdej części – punktacja wskazana w tabeli powyżej). W przypadku nie uzyskania minimalnej liczby z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 teoretycznego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dopuszcza się dodatkowy termin obejmujący zakresem całość lub tylko część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egzaminu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gdzie nie została uzyskana właściwa dla oceny pozytywnej liczba punktów. Poprawa jest identyczną metodą weryfikacji efektów uczenia się, jak w pierwszym terminie. </w:t>
            </w:r>
          </w:p>
          <w:p w14:paraId="6716D7DA" w14:textId="213E18AC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Oceny są wystawiane według liczby uzyskanych punktów (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egzamin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praktyczn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 </w:t>
            </w:r>
            <w:r w:rsidR="00F16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teoretyczny</w:t>
            </w:r>
            <w:r w:rsidRPr="002C6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zgodnie z poniższą tabelą:</w:t>
            </w:r>
          </w:p>
          <w:p w14:paraId="7263AD72" w14:textId="77777777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4"/>
              <w:gridCol w:w="1868"/>
              <w:gridCol w:w="1842"/>
              <w:gridCol w:w="2410"/>
            </w:tblGrid>
            <w:tr w:rsidR="00034751" w:rsidRPr="00A51E92" w14:paraId="2D309E20" w14:textId="77777777" w:rsidTr="008C0D7F">
              <w:tc>
                <w:tcPr>
                  <w:tcW w:w="2414" w:type="dxa"/>
                  <w:vMerge w:val="restart"/>
                  <w:vAlign w:val="center"/>
                </w:tcPr>
                <w:p w14:paraId="6195E42A" w14:textId="77777777" w:rsidR="00034751" w:rsidRPr="00A51E92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3710" w:type="dxa"/>
                  <w:gridSpan w:val="2"/>
                </w:tcPr>
                <w:p w14:paraId="619BA592" w14:textId="05702936" w:rsidR="00034751" w:rsidRPr="00A51E92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liczba punktów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4E5EFD84" w14:textId="3E6C739A" w:rsidR="00034751" w:rsidRPr="00A51E92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034751" w:rsidRPr="00A51E92" w14:paraId="1C1D277C" w14:textId="77777777" w:rsidTr="00034751">
              <w:tc>
                <w:tcPr>
                  <w:tcW w:w="2414" w:type="dxa"/>
                  <w:vMerge/>
                  <w:vAlign w:val="center"/>
                </w:tcPr>
                <w:p w14:paraId="70FC93CD" w14:textId="77777777" w:rsidR="00034751" w:rsidRPr="00A51E92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620CB9DD" w14:textId="4A880D1E" w:rsidR="00034751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Egzamin praktyczny</w:t>
                  </w:r>
                </w:p>
              </w:tc>
              <w:tc>
                <w:tcPr>
                  <w:tcW w:w="1842" w:type="dxa"/>
                </w:tcPr>
                <w:p w14:paraId="24BF206D" w14:textId="1508F5A1" w:rsidR="00034751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Egzamin teoretyczny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14:paraId="534BC04D" w14:textId="77777777" w:rsidR="00034751" w:rsidRPr="00A51E92" w:rsidRDefault="00034751" w:rsidP="00034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7ED2" w:rsidRPr="00A51E92" w14:paraId="60C85DE1" w14:textId="77777777" w:rsidTr="00426608"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2EFE0D" w14:textId="630E0082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1868" w:type="dxa"/>
                </w:tcPr>
                <w:p w14:paraId="10243E73" w14:textId="60AEE4B9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– 20</w:t>
                  </w:r>
                </w:p>
              </w:tc>
              <w:tc>
                <w:tcPr>
                  <w:tcW w:w="1842" w:type="dxa"/>
                </w:tcPr>
                <w:p w14:paraId="4AAEEBE3" w14:textId="23EC75E5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29 - 30</w:t>
                  </w:r>
                </w:p>
              </w:tc>
              <w:tc>
                <w:tcPr>
                  <w:tcW w:w="2410" w:type="dxa"/>
                </w:tcPr>
                <w:p w14:paraId="4ED51D0D" w14:textId="2B2BCEF2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 (5)</w:t>
                  </w:r>
                </w:p>
              </w:tc>
            </w:tr>
            <w:tr w:rsidR="005F7ED2" w:rsidRPr="00A51E92" w14:paraId="70B62DEB" w14:textId="77777777" w:rsidTr="00426608">
              <w:trPr>
                <w:cantSplit/>
              </w:trPr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C658A2" w14:textId="085FFCD9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88-94</w:t>
                  </w:r>
                </w:p>
              </w:tc>
              <w:tc>
                <w:tcPr>
                  <w:tcW w:w="1868" w:type="dxa"/>
                </w:tcPr>
                <w:p w14:paraId="17D602D7" w14:textId="2583D945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17,5 – 18,5</w:t>
                  </w:r>
                </w:p>
              </w:tc>
              <w:tc>
                <w:tcPr>
                  <w:tcW w:w="1842" w:type="dxa"/>
                </w:tcPr>
                <w:p w14:paraId="0A44FDE5" w14:textId="13124E03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27 - 28</w:t>
                  </w:r>
                </w:p>
              </w:tc>
              <w:tc>
                <w:tcPr>
                  <w:tcW w:w="2410" w:type="dxa"/>
                </w:tcPr>
                <w:p w14:paraId="3142F4CD" w14:textId="339C325E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db+ (4+)</w:t>
                  </w:r>
                </w:p>
              </w:tc>
            </w:tr>
            <w:tr w:rsidR="005F7ED2" w:rsidRPr="00A51E92" w14:paraId="352B90C2" w14:textId="77777777" w:rsidTr="00426608">
              <w:trPr>
                <w:cantSplit/>
              </w:trPr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80C9239" w14:textId="13FAFBE6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80-87</w:t>
                  </w:r>
                </w:p>
              </w:tc>
              <w:tc>
                <w:tcPr>
                  <w:tcW w:w="1868" w:type="dxa"/>
                </w:tcPr>
                <w:p w14:paraId="58C9E2F5" w14:textId="3DFBDF0B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– 17</w:t>
                  </w:r>
                </w:p>
              </w:tc>
              <w:tc>
                <w:tcPr>
                  <w:tcW w:w="1842" w:type="dxa"/>
                </w:tcPr>
                <w:p w14:paraId="35E3A085" w14:textId="127442AA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– 26</w:t>
                  </w:r>
                </w:p>
              </w:tc>
              <w:tc>
                <w:tcPr>
                  <w:tcW w:w="2410" w:type="dxa"/>
                </w:tcPr>
                <w:p w14:paraId="3552664E" w14:textId="13CCE115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 (4)</w:t>
                  </w:r>
                </w:p>
              </w:tc>
            </w:tr>
            <w:tr w:rsidR="005F7ED2" w:rsidRPr="00A51E92" w14:paraId="317E5868" w14:textId="77777777" w:rsidTr="00426608">
              <w:trPr>
                <w:cantSplit/>
              </w:trPr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35D34D2" w14:textId="3236D663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71-79</w:t>
                  </w:r>
                </w:p>
              </w:tc>
              <w:tc>
                <w:tcPr>
                  <w:tcW w:w="1868" w:type="dxa"/>
                </w:tcPr>
                <w:p w14:paraId="38696C73" w14:textId="224BF481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– 15</w:t>
                  </w:r>
                </w:p>
              </w:tc>
              <w:tc>
                <w:tcPr>
                  <w:tcW w:w="1842" w:type="dxa"/>
                </w:tcPr>
                <w:p w14:paraId="10B7D5E1" w14:textId="44658F42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– 23</w:t>
                  </w:r>
                </w:p>
              </w:tc>
              <w:tc>
                <w:tcPr>
                  <w:tcW w:w="2410" w:type="dxa"/>
                </w:tcPr>
                <w:p w14:paraId="09C04E09" w14:textId="7891E980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dst+ (3+)</w:t>
                  </w:r>
                </w:p>
              </w:tc>
            </w:tr>
            <w:tr w:rsidR="005F7ED2" w:rsidRPr="00A51E92" w14:paraId="1B14255A" w14:textId="77777777" w:rsidTr="00426608">
              <w:trPr>
                <w:cantSplit/>
              </w:trPr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7125CE8" w14:textId="33AFFDDF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60-70</w:t>
                  </w:r>
                </w:p>
              </w:tc>
              <w:tc>
                <w:tcPr>
                  <w:tcW w:w="1868" w:type="dxa"/>
                </w:tcPr>
                <w:p w14:paraId="21331ABE" w14:textId="1EB499C0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– 13</w:t>
                  </w:r>
                </w:p>
              </w:tc>
              <w:tc>
                <w:tcPr>
                  <w:tcW w:w="1842" w:type="dxa"/>
                </w:tcPr>
                <w:p w14:paraId="22BBA809" w14:textId="3A1421C7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– 20</w:t>
                  </w:r>
                </w:p>
              </w:tc>
              <w:tc>
                <w:tcPr>
                  <w:tcW w:w="2410" w:type="dxa"/>
                </w:tcPr>
                <w:p w14:paraId="768302ED" w14:textId="7794CE4F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 (3)</w:t>
                  </w:r>
                </w:p>
              </w:tc>
            </w:tr>
            <w:tr w:rsidR="005F7ED2" w:rsidRPr="00A51E92" w14:paraId="35FE1B84" w14:textId="77777777" w:rsidTr="00426608">
              <w:tc>
                <w:tcPr>
                  <w:tcW w:w="24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E9ACDB" w14:textId="6522A510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0-59</w:t>
                  </w:r>
                </w:p>
              </w:tc>
              <w:tc>
                <w:tcPr>
                  <w:tcW w:w="1868" w:type="dxa"/>
                </w:tcPr>
                <w:p w14:paraId="4A583EDB" w14:textId="4E2D38E0" w:rsidR="005F7ED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0 - 11</w:t>
                  </w:r>
                </w:p>
              </w:tc>
              <w:tc>
                <w:tcPr>
                  <w:tcW w:w="1842" w:type="dxa"/>
                </w:tcPr>
                <w:p w14:paraId="2D53B618" w14:textId="6DEE8125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≤ 17</w:t>
                  </w:r>
                </w:p>
              </w:tc>
              <w:tc>
                <w:tcPr>
                  <w:tcW w:w="2410" w:type="dxa"/>
                </w:tcPr>
                <w:p w14:paraId="1599527C" w14:textId="142A1426" w:rsidR="005F7ED2" w:rsidRPr="00A51E92" w:rsidRDefault="005F7ED2" w:rsidP="005F7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 (2)</w:t>
                  </w:r>
                </w:p>
              </w:tc>
            </w:tr>
          </w:tbl>
          <w:p w14:paraId="3AFC18A8" w14:textId="1E283EC9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8FD671C" w14:textId="7C695896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48ED5F3" w14:textId="77777777" w:rsidR="002C6580" w:rsidRPr="002C6580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1696735" w14:textId="744AB2F4" w:rsidR="00393360" w:rsidRPr="00777359" w:rsidRDefault="002C6580" w:rsidP="002C65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Powyższe jednolite kryteria obowiązują na wszystkich egzaminach lub zaliczeniach końcowych, w tym również poprawkowych</w:t>
            </w:r>
          </w:p>
          <w:p w14:paraId="23A954AA" w14:textId="77777777" w:rsidR="00393360" w:rsidRPr="002C6580" w:rsidRDefault="00393360" w:rsidP="00C4358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4358C" w:rsidRPr="00A4353A" w14:paraId="3225DCCC" w14:textId="77777777" w:rsidTr="00383700">
        <w:tc>
          <w:tcPr>
            <w:tcW w:w="10060" w:type="dxa"/>
            <w:gridSpan w:val="2"/>
            <w:vAlign w:val="center"/>
          </w:tcPr>
          <w:p w14:paraId="56C0811B" w14:textId="77777777"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14:paraId="06D70FC3" w14:textId="77777777" w:rsidTr="00A87A05">
        <w:tc>
          <w:tcPr>
            <w:tcW w:w="10060" w:type="dxa"/>
            <w:gridSpan w:val="2"/>
            <w:vAlign w:val="center"/>
          </w:tcPr>
          <w:p w14:paraId="73EBC1DD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Obecność studentów na zajęciach jest obowiązkowa. </w:t>
            </w:r>
          </w:p>
          <w:p w14:paraId="36792084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przypadku nieobecności ze względów zdrowotnych student jest zobowiązany do przedłożenia zwolnienia lekarskiego – odrobienie zaległych zajęć odbywa się po porozumieniu z prowadzącym dane zajęcia Asystentem (w formie ustnej lub w formie przygotowania eseju przez studenta).</w:t>
            </w:r>
          </w:p>
          <w:p w14:paraId="5FE12AB6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Studenci przed przystąpieniem do zajęć mają obowiązek pozostawiać odzież wierzchnią w szatni oraz bezwzględnie wyłączyć telefony komórkowe.</w:t>
            </w:r>
          </w:p>
          <w:p w14:paraId="5C308240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Studentów zobowiązuje się do posiadania i zakładania stroju ochronnego, wynikającego ze specyfiki Kliniki Chorób Oczu jako oddziału zabiegowego (odzież medyczna: bluza lub fartuch, spodnie lub spódnica, obuwie zamienne.).</w:t>
            </w:r>
          </w:p>
          <w:p w14:paraId="4C01ADF0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wejściem na zajęcia (do Sali Seminaryjnej, na ćwiczenia) Studenci zobowiązani są zdezynfekować ręce.</w:t>
            </w:r>
          </w:p>
          <w:p w14:paraId="777A9E1C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Podczas całych zajęć Studenci są zobowiązani nosić maseczki ochronne.</w:t>
            </w:r>
          </w:p>
          <w:p w14:paraId="361094C7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Studenci korzystają ze sprzętu okulistycznego (lampa szczelinowa, autorefraktometr, oftalmoskop, egzoftalmometr, oprawki okularowe i szkła próbne) na terenie Kliniki Chorób Oczu wyłącznie pod nadzorem i po odpowiednim przeszkoleniu przez lekarzy okulistów. Po każdym badaniu przy użyciu sprzętu okulistycznego Student jest zobowiązany do oczyszczenia środkiem dezynfekcyjnym elementów sprzętu znajdujących się w bezpośrednim kontakcie z pacjentem.</w:t>
            </w:r>
          </w:p>
          <w:p w14:paraId="352872D5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14:paraId="6BCA155E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 zajęciach dydaktycznych zabrania się wykonywania zdjęć i/lub nagrywania zajęć dydaktycznych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 </w:t>
            </w:r>
          </w:p>
          <w:p w14:paraId="42A295A2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14:paraId="725343A3" w14:textId="77777777" w:rsidR="000558BE" w:rsidRDefault="000558BE" w:rsidP="000558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Student może wyjść do toalety w trakcie zajęć, ale tylko za wiedzą asystenta prowadzącego zajęcia. W przypadku wyjścia studenta z zajęć, na przykład do toalety i braku powrotu lub po bardzo długim czasie – należy ten fakt odnotować na karcie obecności (w celu zastosowania dalszych procedur, tj, konsekwencji danego zachowania).</w:t>
            </w:r>
          </w:p>
          <w:p w14:paraId="64074B0D" w14:textId="7F56B19B" w:rsidR="00C4358C" w:rsidRPr="005F7ED2" w:rsidRDefault="000558BE" w:rsidP="000558B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miarę możliwości studentom będą udostępniane materiały dotyczące zagadnień prezentowanych podczas prezentacji multimedialnych (szczególnie te, które zawierają dużą liczbę danych, trudnych do zanotowania w czasie prezentacji) – udostępnianie materiałów dydaktycznych wyłącznie za zgodą wykładowcy prowadzącego zajęcia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03845DBF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653EDA21" w14:textId="77777777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22F05E95" w14:textId="77777777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32D604A6" w14:textId="77777777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79238A51" w14:textId="2354D779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08DB0E42" w14:textId="56BEB086" w:rsidR="000558BE" w:rsidRDefault="000558BE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6C86E782" w14:textId="77777777" w:rsidR="000558BE" w:rsidRDefault="000558BE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7C70582F" w14:textId="77777777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080D1AD1" w14:textId="7CF3F2DD" w:rsidR="00234900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35B908CA" w14:textId="1692F4A4" w:rsidR="00A45D95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1EC00774" w14:textId="77777777" w:rsidR="00A45D95" w:rsidRPr="00A4353A" w:rsidRDefault="00A45D9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79CA80C4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68BACBEC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10F48AAE" w14:textId="712D1D37" w:rsidR="00393360" w:rsidRPr="00A4353A" w:rsidRDefault="00393360" w:rsidP="00393360">
      <w:pPr>
        <w:tabs>
          <w:tab w:val="center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3360" w:rsidRPr="00A4353A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7AE8" w14:textId="77777777" w:rsidR="006E3697" w:rsidRDefault="006E3697" w:rsidP="006E329C">
      <w:pPr>
        <w:spacing w:after="0" w:line="240" w:lineRule="auto"/>
      </w:pPr>
      <w:r>
        <w:separator/>
      </w:r>
    </w:p>
  </w:endnote>
  <w:endnote w:type="continuationSeparator" w:id="0">
    <w:p w14:paraId="0AD3D8B6" w14:textId="77777777" w:rsidR="006E3697" w:rsidRDefault="006E3697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14:paraId="16894A65" w14:textId="77777777"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0D0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7B193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F31D4" w14:textId="77777777" w:rsidR="006E3697" w:rsidRDefault="006E3697" w:rsidP="006E329C">
      <w:pPr>
        <w:spacing w:after="0" w:line="240" w:lineRule="auto"/>
      </w:pPr>
      <w:r>
        <w:separator/>
      </w:r>
    </w:p>
  </w:footnote>
  <w:footnote w:type="continuationSeparator" w:id="0">
    <w:p w14:paraId="79C0C3B5" w14:textId="77777777" w:rsidR="006E3697" w:rsidRDefault="006E3697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7B8"/>
    <w:multiLevelType w:val="hybridMultilevel"/>
    <w:tmpl w:val="2F9E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05757"/>
    <w:multiLevelType w:val="hybridMultilevel"/>
    <w:tmpl w:val="F91676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3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88731D"/>
    <w:multiLevelType w:val="hybridMultilevel"/>
    <w:tmpl w:val="57E461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5"/>
  </w:num>
  <w:num w:numId="5">
    <w:abstractNumId w:val="36"/>
  </w:num>
  <w:num w:numId="6">
    <w:abstractNumId w:val="21"/>
  </w:num>
  <w:num w:numId="7">
    <w:abstractNumId w:val="1"/>
  </w:num>
  <w:num w:numId="8">
    <w:abstractNumId w:val="25"/>
  </w:num>
  <w:num w:numId="9">
    <w:abstractNumId w:val="10"/>
  </w:num>
  <w:num w:numId="10">
    <w:abstractNumId w:val="24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34"/>
  </w:num>
  <w:num w:numId="19">
    <w:abstractNumId w:val="28"/>
  </w:num>
  <w:num w:numId="20">
    <w:abstractNumId w:val="19"/>
  </w:num>
  <w:num w:numId="21">
    <w:abstractNumId w:val="29"/>
  </w:num>
  <w:num w:numId="22">
    <w:abstractNumId w:val="35"/>
  </w:num>
  <w:num w:numId="23">
    <w:abstractNumId w:val="23"/>
  </w:num>
  <w:num w:numId="24">
    <w:abstractNumId w:val="11"/>
  </w:num>
  <w:num w:numId="25">
    <w:abstractNumId w:val="12"/>
  </w:num>
  <w:num w:numId="26">
    <w:abstractNumId w:val="0"/>
  </w:num>
  <w:num w:numId="27">
    <w:abstractNumId w:val="22"/>
  </w:num>
  <w:num w:numId="28">
    <w:abstractNumId w:val="7"/>
  </w:num>
  <w:num w:numId="29">
    <w:abstractNumId w:val="2"/>
  </w:num>
  <w:num w:numId="30">
    <w:abstractNumId w:val="13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34751"/>
    <w:rsid w:val="000558BE"/>
    <w:rsid w:val="00056B02"/>
    <w:rsid w:val="000602EC"/>
    <w:rsid w:val="0007679E"/>
    <w:rsid w:val="000A0477"/>
    <w:rsid w:val="000B1E52"/>
    <w:rsid w:val="000B578F"/>
    <w:rsid w:val="000C35A3"/>
    <w:rsid w:val="000D0BB5"/>
    <w:rsid w:val="000E14E0"/>
    <w:rsid w:val="000E56EB"/>
    <w:rsid w:val="000E7188"/>
    <w:rsid w:val="000F1CE0"/>
    <w:rsid w:val="00102AB1"/>
    <w:rsid w:val="00106B9F"/>
    <w:rsid w:val="00124092"/>
    <w:rsid w:val="00127355"/>
    <w:rsid w:val="00131901"/>
    <w:rsid w:val="00145A55"/>
    <w:rsid w:val="00146261"/>
    <w:rsid w:val="00151B0E"/>
    <w:rsid w:val="0015549B"/>
    <w:rsid w:val="001706F5"/>
    <w:rsid w:val="001743A9"/>
    <w:rsid w:val="00180F2C"/>
    <w:rsid w:val="0018574B"/>
    <w:rsid w:val="001A0185"/>
    <w:rsid w:val="001A2105"/>
    <w:rsid w:val="001A4C2E"/>
    <w:rsid w:val="001A5A4C"/>
    <w:rsid w:val="001A6A01"/>
    <w:rsid w:val="001C6480"/>
    <w:rsid w:val="001E151E"/>
    <w:rsid w:val="002059A6"/>
    <w:rsid w:val="00206E68"/>
    <w:rsid w:val="0022757F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6580"/>
    <w:rsid w:val="002C7D1E"/>
    <w:rsid w:val="002E2F2E"/>
    <w:rsid w:val="002F2D8F"/>
    <w:rsid w:val="00314294"/>
    <w:rsid w:val="00326070"/>
    <w:rsid w:val="0033183E"/>
    <w:rsid w:val="00332EBE"/>
    <w:rsid w:val="00347DDD"/>
    <w:rsid w:val="003502CF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07FD"/>
    <w:rsid w:val="003A53A0"/>
    <w:rsid w:val="003D7B8F"/>
    <w:rsid w:val="003E56B0"/>
    <w:rsid w:val="003F56CE"/>
    <w:rsid w:val="003F6037"/>
    <w:rsid w:val="00402F0D"/>
    <w:rsid w:val="00404148"/>
    <w:rsid w:val="00415B72"/>
    <w:rsid w:val="00422225"/>
    <w:rsid w:val="004371D2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113"/>
    <w:rsid w:val="004A3BCC"/>
    <w:rsid w:val="004B0624"/>
    <w:rsid w:val="004B35E6"/>
    <w:rsid w:val="004D4563"/>
    <w:rsid w:val="004E3D55"/>
    <w:rsid w:val="004E72D9"/>
    <w:rsid w:val="004F79BC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773"/>
    <w:rsid w:val="005D6309"/>
    <w:rsid w:val="005F7C13"/>
    <w:rsid w:val="005F7ED2"/>
    <w:rsid w:val="00603B05"/>
    <w:rsid w:val="006055EE"/>
    <w:rsid w:val="00625004"/>
    <w:rsid w:val="006437CC"/>
    <w:rsid w:val="00651278"/>
    <w:rsid w:val="006846EB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3697"/>
    <w:rsid w:val="006E448B"/>
    <w:rsid w:val="006E4D6B"/>
    <w:rsid w:val="007103C0"/>
    <w:rsid w:val="0071524E"/>
    <w:rsid w:val="007168D0"/>
    <w:rsid w:val="00734F48"/>
    <w:rsid w:val="007527A1"/>
    <w:rsid w:val="00761AAE"/>
    <w:rsid w:val="00777359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6178F"/>
    <w:rsid w:val="00871E8E"/>
    <w:rsid w:val="0088166E"/>
    <w:rsid w:val="00885F11"/>
    <w:rsid w:val="00886979"/>
    <w:rsid w:val="00894893"/>
    <w:rsid w:val="008A0BC4"/>
    <w:rsid w:val="008A216D"/>
    <w:rsid w:val="008A64B4"/>
    <w:rsid w:val="008A7105"/>
    <w:rsid w:val="008D4731"/>
    <w:rsid w:val="00901C09"/>
    <w:rsid w:val="00922089"/>
    <w:rsid w:val="00923344"/>
    <w:rsid w:val="00926428"/>
    <w:rsid w:val="009269A2"/>
    <w:rsid w:val="00930DAC"/>
    <w:rsid w:val="00957DD8"/>
    <w:rsid w:val="00963713"/>
    <w:rsid w:val="009766BC"/>
    <w:rsid w:val="00981F37"/>
    <w:rsid w:val="009843CE"/>
    <w:rsid w:val="00990E70"/>
    <w:rsid w:val="00996182"/>
    <w:rsid w:val="00996517"/>
    <w:rsid w:val="009A39C9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45D95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9450B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196"/>
    <w:rsid w:val="00C16A53"/>
    <w:rsid w:val="00C17A12"/>
    <w:rsid w:val="00C20B75"/>
    <w:rsid w:val="00C4358C"/>
    <w:rsid w:val="00C45CC4"/>
    <w:rsid w:val="00C47284"/>
    <w:rsid w:val="00C5273D"/>
    <w:rsid w:val="00C61589"/>
    <w:rsid w:val="00C62329"/>
    <w:rsid w:val="00C67E73"/>
    <w:rsid w:val="00C7542C"/>
    <w:rsid w:val="00C754A0"/>
    <w:rsid w:val="00C77D35"/>
    <w:rsid w:val="00C83C4B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DF7CCB"/>
    <w:rsid w:val="00E1227B"/>
    <w:rsid w:val="00E247CC"/>
    <w:rsid w:val="00E26103"/>
    <w:rsid w:val="00E26F2F"/>
    <w:rsid w:val="00E52595"/>
    <w:rsid w:val="00E63375"/>
    <w:rsid w:val="00E8028A"/>
    <w:rsid w:val="00E811E6"/>
    <w:rsid w:val="00E81AD9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EF52BC"/>
    <w:rsid w:val="00F122EE"/>
    <w:rsid w:val="00F16850"/>
    <w:rsid w:val="00F16940"/>
    <w:rsid w:val="00F16FD7"/>
    <w:rsid w:val="00F1759D"/>
    <w:rsid w:val="00F22EC4"/>
    <w:rsid w:val="00F631DA"/>
    <w:rsid w:val="00F7203B"/>
    <w:rsid w:val="00FA295A"/>
    <w:rsid w:val="00FB4D26"/>
    <w:rsid w:val="00FC2D98"/>
    <w:rsid w:val="00FC4D46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E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1EAC-4C17-4102-8838-413D85F9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UMK Torun CM</cp:lastModifiedBy>
  <cp:revision>2</cp:revision>
  <cp:lastPrinted>2021-10-04T06:14:00Z</cp:lastPrinted>
  <dcterms:created xsi:type="dcterms:W3CDTF">2021-10-04T06:14:00Z</dcterms:created>
  <dcterms:modified xsi:type="dcterms:W3CDTF">2021-10-04T06:14:00Z</dcterms:modified>
</cp:coreProperties>
</file>